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3E" w:rsidRPr="008101A4" w:rsidRDefault="006A783E" w:rsidP="006A783E">
      <w:pPr>
        <w:pStyle w:val="a4"/>
        <w:rPr>
          <w:rFonts w:ascii="Times New Roman" w:hAnsi="Times New Roman"/>
          <w:sz w:val="24"/>
        </w:rPr>
      </w:pPr>
      <w:r w:rsidRPr="008101A4">
        <w:rPr>
          <w:rFonts w:ascii="Times New Roman" w:hAnsi="Times New Roman"/>
          <w:sz w:val="24"/>
        </w:rPr>
        <w:t>УДК 502.3+574</w:t>
      </w:r>
    </w:p>
    <w:p w:rsidR="006A783E" w:rsidRPr="008101A4" w:rsidRDefault="006A783E" w:rsidP="006A783E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 xml:space="preserve">Проблемы экологической безопасности России </w:t>
      </w:r>
      <w:r w:rsidRPr="008101A4">
        <w:rPr>
          <w:rFonts w:ascii="Times New Roman" w:hAnsi="Times New Roman"/>
          <w:b/>
          <w:sz w:val="24"/>
        </w:rPr>
        <w:br/>
        <w:t>в свете концепции «зеленого» роста</w:t>
      </w:r>
    </w:p>
    <w:p w:rsidR="006A783E" w:rsidRPr="008101A4" w:rsidRDefault="006A783E" w:rsidP="006A783E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 xml:space="preserve">© 2017 г. Б. А. </w:t>
      </w:r>
      <w:proofErr w:type="gramStart"/>
      <w:r w:rsidRPr="008101A4">
        <w:rPr>
          <w:rFonts w:ascii="Times New Roman" w:hAnsi="Times New Roman"/>
        </w:rPr>
        <w:t>Моргунов</w:t>
      </w:r>
      <w:proofErr w:type="gramEnd"/>
      <w:r w:rsidRPr="008101A4">
        <w:rPr>
          <w:rFonts w:ascii="Times New Roman" w:hAnsi="Times New Roman"/>
        </w:rPr>
        <w:t xml:space="preserve">, А. М. </w:t>
      </w:r>
      <w:proofErr w:type="spellStart"/>
      <w:r w:rsidRPr="008101A4">
        <w:rPr>
          <w:rFonts w:ascii="Times New Roman" w:hAnsi="Times New Roman"/>
        </w:rPr>
        <w:t>Багин</w:t>
      </w:r>
      <w:proofErr w:type="spellEnd"/>
      <w:r w:rsidRPr="008101A4">
        <w:rPr>
          <w:rFonts w:ascii="Times New Roman" w:hAnsi="Times New Roman"/>
        </w:rPr>
        <w:t xml:space="preserve">, М. Л. </w:t>
      </w:r>
      <w:proofErr w:type="spellStart"/>
      <w:r w:rsidRPr="008101A4">
        <w:rPr>
          <w:rFonts w:ascii="Times New Roman" w:hAnsi="Times New Roman"/>
        </w:rPr>
        <w:t>Козельцев</w:t>
      </w:r>
      <w:proofErr w:type="spellEnd"/>
      <w:r w:rsidRPr="008101A4">
        <w:rPr>
          <w:rFonts w:ascii="Times New Roman" w:hAnsi="Times New Roman"/>
        </w:rPr>
        <w:t>, А. А. Терентьев</w:t>
      </w:r>
    </w:p>
    <w:p w:rsidR="006A783E" w:rsidRPr="008101A4" w:rsidRDefault="006A783E" w:rsidP="006A783E">
      <w:pPr>
        <w:pStyle w:val="a7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Институт экономики природопользования и экологической политики Национального исследовательского </w:t>
      </w:r>
      <w:r w:rsidRPr="008101A4">
        <w:rPr>
          <w:rFonts w:ascii="Times New Roman" w:hAnsi="Times New Roman"/>
          <w:w w:val="100"/>
          <w:sz w:val="24"/>
        </w:rPr>
        <w:br/>
        <w:t>университета «Высшая школа экономики», г. Москва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В статье рассмотрен ряд основополагающих вопросов экологической безопасности России и ряда других стран, в частности показано, что в значительной степени причины многих экологических проблем имеют антропогенное происхождение. Принимая во внимание экологическую ситуацию в Российской Федерации, экологическая безопасность становится важнейшим компонентом национальной безопасности страны в связи с необходимостью обеспечения благополучия и здоровья населения, учета экологических аспектов в экономической политике страны, когда экономическое развитие и окружающая среда уже не могут рассматриваться изолированно, в отрыве друг от друга. Особое значение для обеспечения экологической безопасности страны приобретает необходимость учета происходящего в настоящее время изменения климата, а также всестороннего учета ценности и стоимости природного капитала в системе национальных счетов России. </w:t>
      </w:r>
      <w:r w:rsidRPr="008101A4">
        <w:rPr>
          <w:rFonts w:ascii="Times New Roman" w:hAnsi="Times New Roman"/>
          <w:w w:val="100"/>
          <w:sz w:val="24"/>
        </w:rPr>
        <w:br/>
        <w:t xml:space="preserve">Рассмотрены основные аспекты концепции «зеленой» экономики и «зеленого» роста, которые являются основополагающей идеей современного устойчивого развития, а также предложенный в рамках стратегии «зеленого» роста гибкий набор мер, который может быть приспособлен к национальному контексту Российской Федерации. Показано, что условиями обеспечения экологической безопасности России является широкое применение экологически безопасных ресурсосберегающих технологий, малоотходных и безотходных производств, повторное использование и переработка отходов в качестве источников сырья в экономике. Проанализирован опыт </w:t>
      </w:r>
      <w:proofErr w:type="gramStart"/>
      <w:r w:rsidRPr="008101A4">
        <w:rPr>
          <w:rFonts w:ascii="Times New Roman" w:hAnsi="Times New Roman"/>
          <w:w w:val="100"/>
          <w:sz w:val="24"/>
        </w:rPr>
        <w:t>обеспечения экологической безопасности ряда стран Организации экономического сотрудничества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и развития в свете концепции «зеленой» экономики и рассмотрены возможности для использования этого опыта для обеспечения экологической безопасности России на основе всесторонней интеграции экологических соображений в экономическую политику страны. Представлены рекомендации по приведению законодательной базы страны в соответствие с требованиями «зеленой» экономики. 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экологическая безопасность, природоохранное законодательство, гармонизация </w:t>
      </w:r>
      <w:proofErr w:type="spellStart"/>
      <w:r w:rsidRPr="008101A4">
        <w:rPr>
          <w:rFonts w:ascii="Times New Roman" w:hAnsi="Times New Roman"/>
          <w:w w:val="100"/>
          <w:sz w:val="24"/>
        </w:rPr>
        <w:t>нормативно­правовой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базы, опыт стран ОЭСР, «зеленая» экономика, «зеленый» рост </w:t>
      </w:r>
    </w:p>
    <w:p w:rsidR="006A783E" w:rsidRPr="008101A4" w:rsidRDefault="006A783E" w:rsidP="006A783E">
      <w:pPr>
        <w:pStyle w:val="a3"/>
        <w:rPr>
          <w:rFonts w:ascii="Times New Roman" w:hAnsi="Times New Roman"/>
          <w:sz w:val="24"/>
        </w:rPr>
      </w:pPr>
    </w:p>
    <w:p w:rsidR="006A783E" w:rsidRDefault="006A783E" w:rsidP="006A783E">
      <w:pPr>
        <w:rPr>
          <w:rFonts w:ascii="Times New Roman" w:hAnsi="Times New Roman"/>
          <w:sz w:val="24"/>
        </w:rPr>
      </w:pPr>
    </w:p>
    <w:p w:rsidR="0020518A" w:rsidRDefault="0020518A" w:rsidP="006A783E">
      <w:pPr>
        <w:rPr>
          <w:rFonts w:ascii="Times New Roman" w:hAnsi="Times New Roman"/>
          <w:sz w:val="24"/>
        </w:rPr>
      </w:pPr>
    </w:p>
    <w:p w:rsidR="0020518A" w:rsidRPr="008101A4" w:rsidRDefault="0020518A" w:rsidP="006A783E">
      <w:pPr>
        <w:rPr>
          <w:rFonts w:ascii="Times New Roman" w:hAnsi="Times New Roman"/>
          <w:sz w:val="24"/>
        </w:rPr>
      </w:pPr>
    </w:p>
    <w:p w:rsidR="006A783E" w:rsidRPr="008101A4" w:rsidRDefault="006A783E" w:rsidP="006A783E">
      <w:pPr>
        <w:pStyle w:val="a4"/>
        <w:spacing w:after="57"/>
        <w:rPr>
          <w:rFonts w:ascii="Times New Roman" w:hAnsi="Times New Roman"/>
          <w:sz w:val="24"/>
        </w:rPr>
      </w:pPr>
      <w:r w:rsidRPr="008101A4">
        <w:rPr>
          <w:rFonts w:ascii="Times New Roman" w:hAnsi="Times New Roman"/>
          <w:sz w:val="24"/>
        </w:rPr>
        <w:lastRenderedPageBreak/>
        <w:t>УДК 616.995.7(470.11)</w:t>
      </w:r>
    </w:p>
    <w:p w:rsidR="006A783E" w:rsidRPr="008101A4" w:rsidRDefault="006A783E" w:rsidP="006A783E">
      <w:pPr>
        <w:pStyle w:val="a5"/>
        <w:spacing w:after="57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>ЭПИДЕМИОЛОГИЧЕСКИЕ ОСОБЕННОСТИ РАСПРОСТРАНЕНИЯ КЛЕЩЕВОГО ВИРУСНОГО ЭНЦЕФАЛИТА В АРХАНГЕЛЬСКОЙ ОБЛАСТИ</w:t>
      </w:r>
    </w:p>
    <w:p w:rsidR="006A783E" w:rsidRPr="008101A4" w:rsidRDefault="006A783E" w:rsidP="006A783E">
      <w:pPr>
        <w:pStyle w:val="a6"/>
        <w:spacing w:after="57"/>
        <w:rPr>
          <w:rFonts w:ascii="Times New Roman" w:hAnsi="Times New Roman"/>
        </w:rPr>
      </w:pPr>
      <w:r w:rsidRPr="008101A4">
        <w:rPr>
          <w:rFonts w:ascii="Times New Roman" w:hAnsi="Times New Roman"/>
        </w:rPr>
        <w:t>© 2017 г.</w:t>
      </w:r>
      <w:r w:rsidRPr="008101A4">
        <w:rPr>
          <w:rFonts w:ascii="Times New Roman" w:hAnsi="Times New Roman"/>
          <w:vertAlign w:val="superscript"/>
        </w:rPr>
        <w:t>1,2</w:t>
      </w:r>
      <w:r w:rsidRPr="008101A4">
        <w:rPr>
          <w:rFonts w:ascii="Times New Roman" w:hAnsi="Times New Roman"/>
        </w:rPr>
        <w:t xml:space="preserve">О. В. Соколова, </w:t>
      </w:r>
      <w:r w:rsidRPr="008101A4">
        <w:rPr>
          <w:rFonts w:ascii="Times New Roman" w:hAnsi="Times New Roman"/>
          <w:vertAlign w:val="superscript"/>
        </w:rPr>
        <w:t>3</w:t>
      </w:r>
      <w:r w:rsidRPr="008101A4">
        <w:rPr>
          <w:rFonts w:ascii="Times New Roman" w:hAnsi="Times New Roman"/>
        </w:rPr>
        <w:t>В. П. Чащин,</w:t>
      </w:r>
      <w:r w:rsidRPr="008101A4">
        <w:rPr>
          <w:rFonts w:ascii="Times New Roman" w:hAnsi="Times New Roman"/>
          <w:vertAlign w:val="superscript"/>
        </w:rPr>
        <w:t xml:space="preserve"> 2</w:t>
      </w:r>
      <w:r w:rsidRPr="008101A4">
        <w:rPr>
          <w:rFonts w:ascii="Times New Roman" w:hAnsi="Times New Roman"/>
        </w:rPr>
        <w:t>О. Н. Попова,</w:t>
      </w:r>
      <w:r w:rsidRPr="008101A4">
        <w:rPr>
          <w:rFonts w:ascii="Times New Roman" w:hAnsi="Times New Roman"/>
          <w:vertAlign w:val="superscript"/>
        </w:rPr>
        <w:t xml:space="preserve"> 1,2</w:t>
      </w:r>
      <w:r w:rsidRPr="008101A4">
        <w:rPr>
          <w:rFonts w:ascii="Times New Roman" w:hAnsi="Times New Roman"/>
        </w:rPr>
        <w:t xml:space="preserve">Р. В. </w:t>
      </w:r>
      <w:proofErr w:type="spellStart"/>
      <w:r w:rsidRPr="008101A4">
        <w:rPr>
          <w:rFonts w:ascii="Times New Roman" w:hAnsi="Times New Roman"/>
        </w:rPr>
        <w:t>Бузинов</w:t>
      </w:r>
      <w:proofErr w:type="spellEnd"/>
      <w:r w:rsidRPr="008101A4">
        <w:rPr>
          <w:rFonts w:ascii="Times New Roman" w:hAnsi="Times New Roman"/>
        </w:rPr>
        <w:t xml:space="preserve">, </w:t>
      </w:r>
      <w:r w:rsidRPr="008101A4">
        <w:rPr>
          <w:rFonts w:ascii="Times New Roman" w:hAnsi="Times New Roman"/>
        </w:rPr>
        <w:br/>
      </w:r>
      <w:r w:rsidRPr="008101A4">
        <w:rPr>
          <w:rFonts w:ascii="Times New Roman" w:hAnsi="Times New Roman"/>
          <w:vertAlign w:val="superscript"/>
        </w:rPr>
        <w:t>2</w:t>
      </w:r>
      <w:r w:rsidRPr="008101A4">
        <w:rPr>
          <w:rFonts w:ascii="Times New Roman" w:hAnsi="Times New Roman"/>
        </w:rPr>
        <w:t xml:space="preserve">М. М. </w:t>
      </w:r>
      <w:proofErr w:type="spellStart"/>
      <w:r w:rsidRPr="008101A4">
        <w:rPr>
          <w:rFonts w:ascii="Times New Roman" w:hAnsi="Times New Roman"/>
        </w:rPr>
        <w:t>Пасынкова</w:t>
      </w:r>
      <w:proofErr w:type="spellEnd"/>
      <w:r w:rsidRPr="008101A4">
        <w:rPr>
          <w:rFonts w:ascii="Times New Roman" w:hAnsi="Times New Roman"/>
        </w:rPr>
        <w:t xml:space="preserve">, </w:t>
      </w:r>
      <w:r w:rsidRPr="008101A4">
        <w:rPr>
          <w:rFonts w:ascii="Times New Roman" w:hAnsi="Times New Roman"/>
          <w:vertAlign w:val="superscript"/>
        </w:rPr>
        <w:t>2,4,5</w:t>
      </w:r>
      <w:r w:rsidRPr="008101A4">
        <w:rPr>
          <w:rFonts w:ascii="Times New Roman" w:hAnsi="Times New Roman"/>
        </w:rPr>
        <w:t>А. Б. Гудков</w:t>
      </w:r>
    </w:p>
    <w:p w:rsidR="006A783E" w:rsidRPr="008101A4" w:rsidRDefault="006A783E" w:rsidP="006A783E">
      <w:pPr>
        <w:pStyle w:val="a7"/>
        <w:rPr>
          <w:rFonts w:ascii="Times New Roman" w:hAnsi="Times New Roman"/>
          <w:w w:val="100"/>
          <w:sz w:val="24"/>
        </w:rPr>
      </w:pPr>
      <w:proofErr w:type="gramStart"/>
      <w:r w:rsidRPr="008101A4">
        <w:rPr>
          <w:rFonts w:ascii="Times New Roman" w:hAnsi="Times New Roman"/>
          <w:w w:val="100"/>
          <w:sz w:val="24"/>
          <w:vertAlign w:val="superscript"/>
        </w:rPr>
        <w:t>1</w:t>
      </w:r>
      <w:r w:rsidRPr="008101A4">
        <w:rPr>
          <w:rFonts w:ascii="Times New Roman" w:hAnsi="Times New Roman"/>
          <w:w w:val="100"/>
          <w:sz w:val="24"/>
        </w:rPr>
        <w:t xml:space="preserve">Управление Федеральной службы по надзору в сфере защиты прав потребителей и благополучия человека по Архангельской области; </w:t>
      </w:r>
      <w:r w:rsidRPr="008101A4">
        <w:rPr>
          <w:rFonts w:ascii="Times New Roman" w:hAnsi="Times New Roman"/>
          <w:w w:val="100"/>
          <w:sz w:val="24"/>
          <w:vertAlign w:val="superscript"/>
        </w:rPr>
        <w:t>2</w:t>
      </w:r>
      <w:r w:rsidRPr="008101A4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г. Архангельск; </w:t>
      </w:r>
      <w:r w:rsidRPr="008101A4">
        <w:rPr>
          <w:rFonts w:ascii="Times New Roman" w:hAnsi="Times New Roman"/>
          <w:w w:val="100"/>
          <w:sz w:val="24"/>
          <w:vertAlign w:val="superscript"/>
        </w:rPr>
        <w:t>3</w:t>
      </w:r>
      <w:r w:rsidRPr="008101A4">
        <w:rPr>
          <w:rFonts w:ascii="Times New Roman" w:hAnsi="Times New Roman"/>
          <w:w w:val="100"/>
          <w:sz w:val="24"/>
        </w:rPr>
        <w:t xml:space="preserve">Северо­западный государственный медицинский университет им. И. И. Мечникова, г. </w:t>
      </w:r>
      <w:proofErr w:type="spellStart"/>
      <w:r w:rsidRPr="008101A4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; </w:t>
      </w:r>
      <w:r w:rsidRPr="008101A4">
        <w:rPr>
          <w:rFonts w:ascii="Times New Roman" w:hAnsi="Times New Roman"/>
          <w:w w:val="100"/>
          <w:sz w:val="24"/>
          <w:vertAlign w:val="superscript"/>
        </w:rPr>
        <w:t>4</w:t>
      </w:r>
      <w:r w:rsidRPr="008101A4">
        <w:rPr>
          <w:rFonts w:ascii="Times New Roman" w:hAnsi="Times New Roman"/>
          <w:w w:val="100"/>
          <w:sz w:val="24"/>
        </w:rPr>
        <w:t xml:space="preserve">Федеральный исследовательский центр комплексного изучения Арктики Российской академии наук, г. Архангельск; </w:t>
      </w:r>
      <w:r w:rsidRPr="008101A4">
        <w:rPr>
          <w:rFonts w:ascii="Times New Roman" w:hAnsi="Times New Roman"/>
          <w:w w:val="100"/>
          <w:sz w:val="24"/>
          <w:vertAlign w:val="superscript"/>
        </w:rPr>
        <w:t>5</w:t>
      </w:r>
      <w:r w:rsidRPr="008101A4">
        <w:rPr>
          <w:rFonts w:ascii="Times New Roman" w:hAnsi="Times New Roman"/>
          <w:w w:val="100"/>
          <w:sz w:val="24"/>
        </w:rPr>
        <w:t>Северный (Арктический) федеральный университет имени М. В. Ломоносова, г. Архангельск</w:t>
      </w:r>
      <w:proofErr w:type="gramEnd"/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В работе рассмотрены региональные особенности эпидемического процесса и заболеваемости клещевым вирусным энцефалитом (КВЭ) в Архангельской области. В период с 2005 по 2015 год показатели заболеваемости КВЭ на 100 тысяч населения в 2,0–5,4 раза превышали соответствующие средние показатели по Российской Федерации. Обсуждены наиболее вероятные причины повышенной заболеваемости КВЭ в области, определены временные тенденции в ее изменениях, проведен анализ потенциальных факторов риска распространения КВЭ. Фауна переносчиков КВЭ в регионе представлена двумя видами иксодовых клещей: </w:t>
      </w:r>
      <w:proofErr w:type="spellStart"/>
      <w:r w:rsidRPr="008101A4">
        <w:rPr>
          <w:rFonts w:ascii="Times New Roman" w:hAnsi="Times New Roman"/>
          <w:w w:val="100"/>
          <w:sz w:val="24"/>
        </w:rPr>
        <w:t>Ixodes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persulcatus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(таежный клещ) и </w:t>
      </w:r>
      <w:proofErr w:type="spellStart"/>
      <w:r w:rsidRPr="008101A4">
        <w:rPr>
          <w:rFonts w:ascii="Times New Roman" w:hAnsi="Times New Roman"/>
          <w:w w:val="100"/>
          <w:sz w:val="24"/>
        </w:rPr>
        <w:t>Ixodes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ricinus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(лесной клещ), причем доля </w:t>
      </w:r>
      <w:proofErr w:type="spellStart"/>
      <w:r w:rsidRPr="008101A4">
        <w:rPr>
          <w:rFonts w:ascii="Times New Roman" w:hAnsi="Times New Roman"/>
          <w:w w:val="100"/>
          <w:sz w:val="24"/>
        </w:rPr>
        <w:t>Ixodes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persulcatus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составляет более 99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%. Для КВЭ в области характерна </w:t>
      </w:r>
      <w:proofErr w:type="spellStart"/>
      <w:r w:rsidRPr="008101A4">
        <w:rPr>
          <w:rFonts w:ascii="Times New Roman" w:hAnsi="Times New Roman"/>
          <w:w w:val="100"/>
          <w:sz w:val="24"/>
        </w:rPr>
        <w:t>весенне­летняя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сезонность заболеваемости, связанная с активностью доминирующих в фауне иксодовых клещей. Средняя </w:t>
      </w:r>
      <w:proofErr w:type="spellStart"/>
      <w:r w:rsidRPr="008101A4">
        <w:rPr>
          <w:rFonts w:ascii="Times New Roman" w:hAnsi="Times New Roman"/>
          <w:w w:val="100"/>
          <w:sz w:val="24"/>
        </w:rPr>
        <w:t>вирусоформность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клещей за данный период составила 7,8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%. Значительную долю заболевших составляли городские жители, а летальность от КВЭ достигала 4,3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%. С 2010 года отмечается снижение заболеваемости КВЭ в регионе. Снижение заболеваемости населения КВЭ можно связать с увеличением объемов вакцинации, доля привитых (вакцинация и ревакцинация) среди населения области составила 6,3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%. Отражены основные показатели по объемам </w:t>
      </w:r>
      <w:proofErr w:type="spellStart"/>
      <w:r w:rsidRPr="008101A4">
        <w:rPr>
          <w:rFonts w:ascii="Times New Roman" w:hAnsi="Times New Roman"/>
          <w:w w:val="100"/>
          <w:sz w:val="24"/>
        </w:rPr>
        <w:t>акарицидных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обработок, которые с 2005 года увеличились почти в 6 раз, со 128,2 до 740,0 га. Учитывая, что площадь </w:t>
      </w:r>
      <w:proofErr w:type="spellStart"/>
      <w:r w:rsidRPr="008101A4">
        <w:rPr>
          <w:rFonts w:ascii="Times New Roman" w:hAnsi="Times New Roman"/>
          <w:w w:val="100"/>
          <w:sz w:val="24"/>
        </w:rPr>
        <w:t>акарицидных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обработок на территории области ежегодно возрастает, а число лиц, обратившихся за медицинской помощью по поводу присасывания клещей, остается высоким, необходимо после проведения </w:t>
      </w:r>
      <w:proofErr w:type="spellStart"/>
      <w:r w:rsidRPr="008101A4">
        <w:rPr>
          <w:rFonts w:ascii="Times New Roman" w:hAnsi="Times New Roman"/>
          <w:w w:val="100"/>
          <w:sz w:val="24"/>
        </w:rPr>
        <w:t>акарицидных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обработок регулярно контролировать их эффективность. Представлены основные мероприятия по снижению заболеваемости КВЭ, проводимые Управлением </w:t>
      </w:r>
      <w:proofErr w:type="spellStart"/>
      <w:r w:rsidRPr="008101A4">
        <w:rPr>
          <w:rFonts w:ascii="Times New Roman" w:hAnsi="Times New Roman"/>
          <w:w w:val="100"/>
          <w:sz w:val="24"/>
        </w:rPr>
        <w:t>Роспотребнадзора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по Архангельской области и направления дальнейших исследований и разработок. 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клещевой вирусный энцефалит, Архангельская область, вакцинация, </w:t>
      </w:r>
      <w:proofErr w:type="spellStart"/>
      <w:r w:rsidRPr="008101A4">
        <w:rPr>
          <w:rFonts w:ascii="Times New Roman" w:hAnsi="Times New Roman"/>
          <w:w w:val="100"/>
          <w:sz w:val="24"/>
        </w:rPr>
        <w:t>акарицидные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обработки</w:t>
      </w:r>
    </w:p>
    <w:p w:rsidR="006A783E" w:rsidRPr="008101A4" w:rsidRDefault="006A783E" w:rsidP="006A783E">
      <w:pPr>
        <w:pStyle w:val="a3"/>
        <w:rPr>
          <w:rFonts w:ascii="Times New Roman" w:hAnsi="Times New Roman"/>
          <w:sz w:val="24"/>
        </w:rPr>
      </w:pPr>
    </w:p>
    <w:p w:rsidR="006A783E" w:rsidRDefault="006A783E" w:rsidP="006A783E">
      <w:pPr>
        <w:rPr>
          <w:rFonts w:ascii="Times New Roman" w:hAnsi="Times New Roman"/>
          <w:sz w:val="24"/>
        </w:rPr>
      </w:pPr>
    </w:p>
    <w:p w:rsidR="0020518A" w:rsidRPr="0020518A" w:rsidRDefault="0020518A" w:rsidP="006A783E">
      <w:pPr>
        <w:rPr>
          <w:rFonts w:ascii="Times New Roman" w:hAnsi="Times New Roman"/>
          <w:sz w:val="24"/>
        </w:rPr>
      </w:pPr>
    </w:p>
    <w:p w:rsidR="006A783E" w:rsidRPr="0020518A" w:rsidRDefault="006A783E" w:rsidP="006A783E">
      <w:pPr>
        <w:rPr>
          <w:rFonts w:ascii="Times New Roman" w:hAnsi="Times New Roman"/>
          <w:sz w:val="24"/>
          <w:lang w:val="en-US"/>
        </w:rPr>
      </w:pPr>
    </w:p>
    <w:p w:rsidR="006A783E" w:rsidRPr="0020518A" w:rsidRDefault="006A783E" w:rsidP="006A783E">
      <w:pPr>
        <w:pStyle w:val="a4"/>
        <w:rPr>
          <w:rFonts w:ascii="Times New Roman" w:hAnsi="Times New Roman"/>
          <w:sz w:val="24"/>
          <w:lang w:val="en-US"/>
        </w:rPr>
      </w:pPr>
      <w:r w:rsidRPr="008101A4">
        <w:rPr>
          <w:rFonts w:ascii="Times New Roman" w:hAnsi="Times New Roman"/>
          <w:sz w:val="24"/>
        </w:rPr>
        <w:lastRenderedPageBreak/>
        <w:t>УДК</w:t>
      </w:r>
      <w:r w:rsidRPr="0020518A">
        <w:rPr>
          <w:rFonts w:ascii="Times New Roman" w:hAnsi="Times New Roman"/>
          <w:sz w:val="24"/>
          <w:lang w:val="en-US"/>
        </w:rPr>
        <w:t xml:space="preserve"> 572.512(571.121)</w:t>
      </w:r>
    </w:p>
    <w:p w:rsidR="006A783E" w:rsidRPr="008101A4" w:rsidRDefault="006A783E" w:rsidP="006A783E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 xml:space="preserve">ХАРАКТЕРИСТИКА ФИЗИЧЕСКОГО РАЗВИТИЯ ДЕТЕЙ </w:t>
      </w:r>
      <w:r w:rsidRPr="008101A4">
        <w:rPr>
          <w:rFonts w:ascii="Times New Roman" w:hAnsi="Times New Roman"/>
          <w:b/>
          <w:sz w:val="24"/>
        </w:rPr>
        <w:br/>
      </w:r>
      <w:proofErr w:type="gramStart"/>
      <w:r w:rsidRPr="008101A4">
        <w:rPr>
          <w:rFonts w:ascii="Times New Roman" w:hAnsi="Times New Roman"/>
          <w:b/>
          <w:sz w:val="24"/>
        </w:rPr>
        <w:t>ЯМАЛО­НЕНЕЦКОГО</w:t>
      </w:r>
      <w:proofErr w:type="gramEnd"/>
      <w:r w:rsidRPr="008101A4">
        <w:rPr>
          <w:rFonts w:ascii="Times New Roman" w:hAnsi="Times New Roman"/>
          <w:b/>
          <w:sz w:val="24"/>
        </w:rPr>
        <w:t xml:space="preserve"> АВТОНОМНОГО ОКРУГА</w:t>
      </w:r>
    </w:p>
    <w:p w:rsidR="006A783E" w:rsidRPr="008101A4" w:rsidRDefault="006A783E" w:rsidP="006A783E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 xml:space="preserve">© 2017 г. Н. В. Ефимова, И. В. </w:t>
      </w:r>
      <w:proofErr w:type="spellStart"/>
      <w:r w:rsidRPr="008101A4">
        <w:rPr>
          <w:rFonts w:ascii="Times New Roman" w:hAnsi="Times New Roman"/>
        </w:rPr>
        <w:t>Мыльникова</w:t>
      </w:r>
      <w:proofErr w:type="spellEnd"/>
    </w:p>
    <w:p w:rsidR="006A783E" w:rsidRPr="008101A4" w:rsidRDefault="006A783E" w:rsidP="006A783E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8101A4">
        <w:rPr>
          <w:rFonts w:ascii="Times New Roman" w:hAnsi="Times New Roman"/>
          <w:w w:val="100"/>
          <w:sz w:val="24"/>
        </w:rPr>
        <w:t>Восточно­Сибирский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институт </w:t>
      </w:r>
      <w:proofErr w:type="spellStart"/>
      <w:r w:rsidRPr="008101A4">
        <w:rPr>
          <w:rFonts w:ascii="Times New Roman" w:hAnsi="Times New Roman"/>
          <w:w w:val="100"/>
          <w:sz w:val="24"/>
        </w:rPr>
        <w:t>медико­</w:t>
      </w:r>
      <w:proofErr w:type="gramStart"/>
      <w:r w:rsidRPr="008101A4">
        <w:rPr>
          <w:rFonts w:ascii="Times New Roman" w:hAnsi="Times New Roman"/>
          <w:w w:val="100"/>
          <w:sz w:val="24"/>
        </w:rPr>
        <w:t>экологических</w:t>
      </w:r>
      <w:proofErr w:type="spellEnd"/>
      <w:proofErr w:type="gramEnd"/>
      <w:r w:rsidRPr="008101A4">
        <w:rPr>
          <w:rFonts w:ascii="Times New Roman" w:hAnsi="Times New Roman"/>
          <w:w w:val="100"/>
          <w:sz w:val="24"/>
        </w:rPr>
        <w:t xml:space="preserve"> исследований, г. </w:t>
      </w:r>
      <w:proofErr w:type="spellStart"/>
      <w:r w:rsidRPr="008101A4">
        <w:rPr>
          <w:rFonts w:ascii="Times New Roman" w:hAnsi="Times New Roman"/>
          <w:w w:val="100"/>
          <w:sz w:val="24"/>
        </w:rPr>
        <w:t>Ангарск</w:t>
      </w:r>
      <w:proofErr w:type="spellEnd"/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Физическое развитие относится к числу важнейших показателей, характеризующих состояние здоровья детей. В статье представлены результаты комплексной оценки данных физического развития </w:t>
      </w:r>
      <w:proofErr w:type="spellStart"/>
      <w:r w:rsidRPr="008101A4">
        <w:rPr>
          <w:rFonts w:ascii="Times New Roman" w:hAnsi="Times New Roman"/>
          <w:w w:val="100"/>
          <w:sz w:val="24"/>
        </w:rPr>
        <w:t>детей­ненцев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7–17 лет, родившихся и постоянно проживающих на территории </w:t>
      </w:r>
      <w:proofErr w:type="spellStart"/>
      <w:proofErr w:type="gramStart"/>
      <w:r w:rsidRPr="008101A4">
        <w:rPr>
          <w:rFonts w:ascii="Times New Roman" w:hAnsi="Times New Roman"/>
          <w:w w:val="100"/>
          <w:sz w:val="24"/>
        </w:rPr>
        <w:t>Ямало­Ненецкого</w:t>
      </w:r>
      <w:proofErr w:type="spellEnd"/>
      <w:proofErr w:type="gramEnd"/>
      <w:r w:rsidRPr="008101A4">
        <w:rPr>
          <w:rFonts w:ascii="Times New Roman" w:hAnsi="Times New Roman"/>
          <w:w w:val="100"/>
          <w:sz w:val="24"/>
        </w:rPr>
        <w:t xml:space="preserve"> автономного округа. Установлено, что во всех возрастных группах среди мальчиков и девочек преобладают лица с гармоничным физическим развитием, нормальной массой тела. Выявлено отличие от общих закономерностей, свойственных данному периоду онтогенеза: «первый перекрест ростовых кривых» у </w:t>
      </w:r>
      <w:proofErr w:type="spellStart"/>
      <w:r w:rsidRPr="008101A4">
        <w:rPr>
          <w:rFonts w:ascii="Times New Roman" w:hAnsi="Times New Roman"/>
          <w:w w:val="100"/>
          <w:sz w:val="24"/>
        </w:rPr>
        <w:t>детей­ненцев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отмечен в 14 лет. У (63,4 ± 4,9)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обследованных значения жизненной емкости легких (ЖЕЛ) значительно отстают от показателей должной жизненной емкости легких. Величина жизненного индекса у (86,1 ± 2,9)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детей свидетельствует об отставании формирования объемов тела, развития грудных и спинных мышц. Сделано предположение об адаптивном характере снижения ЖЕЛ. </w:t>
      </w:r>
      <w:proofErr w:type="spellStart"/>
      <w:r w:rsidRPr="008101A4">
        <w:rPr>
          <w:rFonts w:ascii="Times New Roman" w:hAnsi="Times New Roman"/>
          <w:w w:val="100"/>
          <w:sz w:val="24"/>
        </w:rPr>
        <w:t>Соматотипологический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анализ выявил среди обследованных преобладание лиц </w:t>
      </w:r>
      <w:proofErr w:type="gramStart"/>
      <w:r w:rsidRPr="008101A4">
        <w:rPr>
          <w:rFonts w:ascii="Times New Roman" w:hAnsi="Times New Roman"/>
          <w:w w:val="100"/>
          <w:sz w:val="24"/>
        </w:rPr>
        <w:t>астенического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соматотипа</w:t>
      </w:r>
      <w:proofErr w:type="spellEnd"/>
      <w:r w:rsidRPr="008101A4">
        <w:rPr>
          <w:rFonts w:ascii="Times New Roman" w:hAnsi="Times New Roman"/>
          <w:w w:val="100"/>
          <w:sz w:val="24"/>
        </w:rPr>
        <w:t>. Так, (59,8 ± 4,2)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</w:t>
      </w:r>
      <w:proofErr w:type="spellStart"/>
      <w:r w:rsidRPr="008101A4">
        <w:rPr>
          <w:rFonts w:ascii="Times New Roman" w:hAnsi="Times New Roman"/>
          <w:w w:val="100"/>
          <w:sz w:val="24"/>
        </w:rPr>
        <w:t>детей­ненцев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обладают </w:t>
      </w:r>
      <w:proofErr w:type="gramStart"/>
      <w:r w:rsidRPr="008101A4">
        <w:rPr>
          <w:rFonts w:ascii="Times New Roman" w:hAnsi="Times New Roman"/>
          <w:w w:val="100"/>
          <w:sz w:val="24"/>
        </w:rPr>
        <w:t>астеническим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соматотипом</w:t>
      </w:r>
      <w:proofErr w:type="spellEnd"/>
      <w:r w:rsidRPr="008101A4">
        <w:rPr>
          <w:rFonts w:ascii="Times New Roman" w:hAnsi="Times New Roman"/>
          <w:w w:val="100"/>
          <w:sz w:val="24"/>
        </w:rPr>
        <w:t>, (36,5 ± 4,1)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– </w:t>
      </w:r>
      <w:proofErr w:type="spellStart"/>
      <w:r w:rsidRPr="008101A4">
        <w:rPr>
          <w:rFonts w:ascii="Times New Roman" w:hAnsi="Times New Roman"/>
          <w:w w:val="100"/>
          <w:sz w:val="24"/>
        </w:rPr>
        <w:t>нормостеническим</w:t>
      </w:r>
      <w:proofErr w:type="spellEnd"/>
      <w:r w:rsidRPr="008101A4">
        <w:rPr>
          <w:rFonts w:ascii="Times New Roman" w:hAnsi="Times New Roman"/>
          <w:w w:val="100"/>
          <w:sz w:val="24"/>
        </w:rPr>
        <w:t>, (3,7 ± 1,6)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– </w:t>
      </w:r>
      <w:proofErr w:type="spellStart"/>
      <w:r w:rsidRPr="008101A4">
        <w:rPr>
          <w:rFonts w:ascii="Times New Roman" w:hAnsi="Times New Roman"/>
          <w:w w:val="100"/>
          <w:sz w:val="24"/>
        </w:rPr>
        <w:t>гиперстеническим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. Сравнительный анализ показал, что антропометрические показатели мальчиков и девочек до 14 лет имеют близкие значения. Проведенное исследование свидетельствует о необходимости создания региональных </w:t>
      </w:r>
      <w:proofErr w:type="spellStart"/>
      <w:r w:rsidRPr="008101A4">
        <w:rPr>
          <w:rFonts w:ascii="Times New Roman" w:hAnsi="Times New Roman"/>
          <w:w w:val="100"/>
          <w:sz w:val="24"/>
        </w:rPr>
        <w:t>референтных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таблиц по комплексу показателей физического развития для этнических групп населения.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дети, ненцы, гармоничность физического развития</w:t>
      </w:r>
    </w:p>
    <w:p w:rsidR="006A783E" w:rsidRPr="008101A4" w:rsidRDefault="006A783E" w:rsidP="006A783E">
      <w:pPr>
        <w:pStyle w:val="a3"/>
        <w:rPr>
          <w:rFonts w:ascii="Times New Roman" w:hAnsi="Times New Roman"/>
          <w:sz w:val="24"/>
        </w:rPr>
      </w:pPr>
    </w:p>
    <w:p w:rsidR="006A783E" w:rsidRPr="0020518A" w:rsidRDefault="006A783E" w:rsidP="006A783E">
      <w:pPr>
        <w:rPr>
          <w:rFonts w:ascii="Times New Roman" w:hAnsi="Times New Roman"/>
          <w:sz w:val="24"/>
          <w:lang w:val="en-US"/>
        </w:rPr>
      </w:pPr>
    </w:p>
    <w:p w:rsidR="006A783E" w:rsidRPr="0020518A" w:rsidRDefault="006A783E" w:rsidP="006A783E">
      <w:pPr>
        <w:rPr>
          <w:rFonts w:ascii="Times New Roman" w:hAnsi="Times New Roman"/>
          <w:sz w:val="24"/>
          <w:lang w:val="en-US"/>
        </w:rPr>
      </w:pPr>
    </w:p>
    <w:p w:rsidR="006A783E" w:rsidRPr="0020518A" w:rsidRDefault="006A783E" w:rsidP="006A783E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8101A4">
        <w:rPr>
          <w:rFonts w:ascii="Times New Roman" w:hAnsi="Times New Roman"/>
          <w:sz w:val="24"/>
        </w:rPr>
        <w:t>УДК</w:t>
      </w:r>
      <w:r w:rsidRPr="0020518A">
        <w:rPr>
          <w:rFonts w:ascii="Times New Roman" w:hAnsi="Times New Roman"/>
          <w:sz w:val="24"/>
          <w:lang w:val="en-US"/>
        </w:rPr>
        <w:t xml:space="preserve"> 616.89­008.484</w:t>
      </w:r>
    </w:p>
    <w:p w:rsidR="006A783E" w:rsidRPr="008101A4" w:rsidRDefault="006A783E" w:rsidP="006A783E">
      <w:pPr>
        <w:pStyle w:val="a5"/>
        <w:spacing w:after="57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>РАССТРОЙСТВА АУТИСТИЧЕСКОГО СПЕКТРА КАК СИНДРОМ МЕНТАЛЬНОГО ИММУНОДЕФИЦИТА В 4Д­</w:t>
      </w:r>
      <w:proofErr w:type="gramStart"/>
      <w:r w:rsidRPr="008101A4">
        <w:rPr>
          <w:rFonts w:ascii="Times New Roman" w:hAnsi="Times New Roman"/>
          <w:b/>
          <w:sz w:val="24"/>
        </w:rPr>
        <w:t>ЗЕРКАЛЕ</w:t>
      </w:r>
      <w:proofErr w:type="gramEnd"/>
      <w:r w:rsidRPr="008101A4">
        <w:rPr>
          <w:rFonts w:ascii="Times New Roman" w:hAnsi="Times New Roman"/>
          <w:b/>
          <w:sz w:val="24"/>
        </w:rPr>
        <w:t xml:space="preserve"> МЕНТАЛЬНОЙ МЕДИЦИНЫ</w:t>
      </w:r>
    </w:p>
    <w:p w:rsidR="006A783E" w:rsidRPr="008101A4" w:rsidRDefault="006A783E" w:rsidP="006A783E">
      <w:pPr>
        <w:pStyle w:val="a6"/>
        <w:spacing w:after="57"/>
        <w:rPr>
          <w:rFonts w:ascii="Times New Roman" w:hAnsi="Times New Roman"/>
        </w:rPr>
      </w:pPr>
      <w:r w:rsidRPr="008101A4">
        <w:rPr>
          <w:rFonts w:ascii="Times New Roman" w:hAnsi="Times New Roman"/>
        </w:rPr>
        <w:t>© 2017 г. П. И. Сидоров</w:t>
      </w:r>
    </w:p>
    <w:p w:rsidR="006A783E" w:rsidRPr="008101A4" w:rsidRDefault="006A783E" w:rsidP="006A783E">
      <w:pPr>
        <w:pStyle w:val="a7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>Северный государственный медицинский университет, г. Архангельск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В статье систематизируются </w:t>
      </w:r>
      <w:proofErr w:type="spellStart"/>
      <w:r w:rsidRPr="008101A4">
        <w:rPr>
          <w:rFonts w:ascii="Times New Roman" w:hAnsi="Times New Roman"/>
          <w:w w:val="100"/>
          <w:sz w:val="24"/>
        </w:rPr>
        <w:t>концептуально­методологические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8101A4">
        <w:rPr>
          <w:rFonts w:ascii="Times New Roman" w:hAnsi="Times New Roman"/>
          <w:w w:val="100"/>
          <w:sz w:val="24"/>
        </w:rPr>
        <w:t>инструментально­технологические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ресурсы ментальной медицины (</w:t>
      </w:r>
      <w:proofErr w:type="gramStart"/>
      <w:r w:rsidRPr="008101A4">
        <w:rPr>
          <w:rFonts w:ascii="Times New Roman" w:hAnsi="Times New Roman"/>
          <w:w w:val="100"/>
          <w:sz w:val="24"/>
        </w:rPr>
        <w:t>ММ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) в диагностике и лечении расстройств </w:t>
      </w:r>
      <w:proofErr w:type="spellStart"/>
      <w:r w:rsidRPr="008101A4">
        <w:rPr>
          <w:rFonts w:ascii="Times New Roman" w:hAnsi="Times New Roman"/>
          <w:w w:val="100"/>
          <w:sz w:val="24"/>
        </w:rPr>
        <w:t>аутистического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спектра (РАС). Ментальная медицина является системным синтезом традиций психиатрии и претензий </w:t>
      </w:r>
      <w:proofErr w:type="spellStart"/>
      <w:r w:rsidRPr="008101A4">
        <w:rPr>
          <w:rFonts w:ascii="Times New Roman" w:hAnsi="Times New Roman"/>
          <w:w w:val="100"/>
          <w:sz w:val="24"/>
        </w:rPr>
        <w:t>антипсихиатрии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. С созданием </w:t>
      </w:r>
      <w:proofErr w:type="gramStart"/>
      <w:r w:rsidRPr="008101A4">
        <w:rPr>
          <w:rFonts w:ascii="Times New Roman" w:hAnsi="Times New Roman"/>
          <w:w w:val="100"/>
          <w:sz w:val="24"/>
        </w:rPr>
        <w:t>ММ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заканчивается век </w:t>
      </w:r>
      <w:proofErr w:type="spellStart"/>
      <w:r w:rsidRPr="008101A4">
        <w:rPr>
          <w:rFonts w:ascii="Times New Roman" w:hAnsi="Times New Roman"/>
          <w:w w:val="100"/>
          <w:sz w:val="24"/>
        </w:rPr>
        <w:t>антипсихиатрии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начинается новый этап развития клинических </w:t>
      </w:r>
      <w:proofErr w:type="spellStart"/>
      <w:r w:rsidRPr="008101A4">
        <w:rPr>
          <w:rFonts w:ascii="Times New Roman" w:hAnsi="Times New Roman"/>
          <w:w w:val="100"/>
          <w:sz w:val="24"/>
        </w:rPr>
        <w:lastRenderedPageBreak/>
        <w:t>нейронаук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на синергетической </w:t>
      </w:r>
      <w:proofErr w:type="spellStart"/>
      <w:r w:rsidRPr="008101A4">
        <w:rPr>
          <w:rFonts w:ascii="Times New Roman" w:hAnsi="Times New Roman"/>
          <w:w w:val="100"/>
          <w:sz w:val="24"/>
        </w:rPr>
        <w:t>мультидименсиональной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методологии. Обосновывается выделение синдрома ментального иммунодефицита (СМИД) как патогенетического расстройства ментального иммунитета (МИ). Ментальный иммунитет – это </w:t>
      </w:r>
      <w:proofErr w:type="spellStart"/>
      <w:r w:rsidRPr="008101A4">
        <w:rPr>
          <w:rFonts w:ascii="Times New Roman" w:hAnsi="Times New Roman"/>
          <w:w w:val="100"/>
          <w:sz w:val="24"/>
        </w:rPr>
        <w:t>биопсихосоциодуховная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матрица идентичности и основа безопасности личности. Идентичность – самоопределение (для ребенка самоощущение) индивидуума в терминах его физических и психических, социальных и нравственных черт. Предложена синергетическая функциональная диагностика как развёрнутое ментальное 4Д­картирование, дающее не только клиническую и психологическую, социальную и духовную оценку феноменологии, но также выявление сохранных и потенциально </w:t>
      </w:r>
      <w:proofErr w:type="spellStart"/>
      <w:r w:rsidRPr="008101A4">
        <w:rPr>
          <w:rFonts w:ascii="Times New Roman" w:hAnsi="Times New Roman"/>
          <w:w w:val="100"/>
          <w:sz w:val="24"/>
        </w:rPr>
        <w:t>востребуемых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новых ресурсов персонифицированной помощи и повышения адаптации. Даётся определение нормативных функций МИ. Приводится клиническая феноменология СМИД, проявляющаяся нарушениями идентичности и коммуникации. СМИД может быть врождённым и ранним, детским и поздним, приобретённым и индуцированным. Раскрывается технологическая платформа ММ, </w:t>
      </w:r>
      <w:proofErr w:type="spellStart"/>
      <w:r w:rsidRPr="008101A4">
        <w:rPr>
          <w:rFonts w:ascii="Times New Roman" w:hAnsi="Times New Roman"/>
          <w:w w:val="100"/>
          <w:sz w:val="24"/>
        </w:rPr>
        <w:t>синергетически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аккумулирующая </w:t>
      </w:r>
      <w:proofErr w:type="spellStart"/>
      <w:r w:rsidRPr="008101A4">
        <w:rPr>
          <w:rFonts w:ascii="Times New Roman" w:hAnsi="Times New Roman"/>
          <w:w w:val="100"/>
          <w:sz w:val="24"/>
        </w:rPr>
        <w:t>молекулярно­генетические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</w:t>
      </w:r>
      <w:proofErr w:type="spellStart"/>
      <w:proofErr w:type="gramStart"/>
      <w:r w:rsidRPr="008101A4">
        <w:rPr>
          <w:rFonts w:ascii="Times New Roman" w:hAnsi="Times New Roman"/>
          <w:w w:val="100"/>
          <w:sz w:val="24"/>
        </w:rPr>
        <w:t>медико­биологические</w:t>
      </w:r>
      <w:proofErr w:type="spellEnd"/>
      <w:proofErr w:type="gramEnd"/>
      <w:r w:rsidRPr="008101A4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8101A4">
        <w:rPr>
          <w:rFonts w:ascii="Times New Roman" w:hAnsi="Times New Roman"/>
          <w:w w:val="100"/>
          <w:sz w:val="24"/>
        </w:rPr>
        <w:t>социально­психологические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8101A4">
        <w:rPr>
          <w:rFonts w:ascii="Times New Roman" w:hAnsi="Times New Roman"/>
          <w:w w:val="100"/>
          <w:sz w:val="24"/>
        </w:rPr>
        <w:t>духовно­нравственные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ресурсы, повышающие эффективность раннего вмешательства за счет </w:t>
      </w:r>
      <w:proofErr w:type="spellStart"/>
      <w:r w:rsidRPr="008101A4">
        <w:rPr>
          <w:rFonts w:ascii="Times New Roman" w:hAnsi="Times New Roman"/>
          <w:w w:val="100"/>
          <w:sz w:val="24"/>
        </w:rPr>
        <w:t>скринирующих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батарей ментального 4Д­картирования и </w:t>
      </w:r>
      <w:proofErr w:type="spellStart"/>
      <w:r w:rsidRPr="008101A4">
        <w:rPr>
          <w:rFonts w:ascii="Times New Roman" w:hAnsi="Times New Roman"/>
          <w:w w:val="100"/>
          <w:sz w:val="24"/>
        </w:rPr>
        <w:t>полидисциплинарных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бригадных </w:t>
      </w:r>
      <w:proofErr w:type="spellStart"/>
      <w:r w:rsidRPr="008101A4">
        <w:rPr>
          <w:rFonts w:ascii="Times New Roman" w:hAnsi="Times New Roman"/>
          <w:w w:val="100"/>
          <w:sz w:val="24"/>
        </w:rPr>
        <w:t>блочно­модульных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программ помощи. Патогенетическим методом лечения СМИД является </w:t>
      </w:r>
      <w:proofErr w:type="spellStart"/>
      <w:r w:rsidRPr="008101A4">
        <w:rPr>
          <w:rFonts w:ascii="Times New Roman" w:hAnsi="Times New Roman"/>
          <w:w w:val="100"/>
          <w:sz w:val="24"/>
        </w:rPr>
        <w:t>саногенетическая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терапия – адаптивный инжиниринг и менеджмент сознания и здоровья для восстановления МИ. Рассматриваются примеры положительного регионального опыта реализации </w:t>
      </w:r>
      <w:proofErr w:type="spellStart"/>
      <w:r w:rsidRPr="008101A4">
        <w:rPr>
          <w:rFonts w:ascii="Times New Roman" w:hAnsi="Times New Roman"/>
          <w:w w:val="100"/>
          <w:sz w:val="24"/>
        </w:rPr>
        <w:t>пилотных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моделей. Аутизм как «загадка Х</w:t>
      </w:r>
      <w:proofErr w:type="gramStart"/>
      <w:r w:rsidRPr="008101A4">
        <w:rPr>
          <w:rFonts w:ascii="Times New Roman" w:hAnsi="Times New Roman"/>
          <w:w w:val="100"/>
          <w:sz w:val="24"/>
        </w:rPr>
        <w:t>I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Х века» был выделен и разработан многими выдающимися психиатрами. Современные РАС стали «проблемой ХХ века», вырвавшись за </w:t>
      </w:r>
      <w:proofErr w:type="spellStart"/>
      <w:r w:rsidRPr="008101A4">
        <w:rPr>
          <w:rFonts w:ascii="Times New Roman" w:hAnsi="Times New Roman"/>
          <w:w w:val="100"/>
          <w:sz w:val="24"/>
        </w:rPr>
        <w:t>нозоцентрические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границы клинической психиатрии. </w:t>
      </w:r>
      <w:proofErr w:type="spellStart"/>
      <w:r w:rsidRPr="008101A4">
        <w:rPr>
          <w:rFonts w:ascii="Times New Roman" w:hAnsi="Times New Roman"/>
          <w:w w:val="100"/>
          <w:sz w:val="24"/>
        </w:rPr>
        <w:t>Востребованность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синергетической </w:t>
      </w:r>
      <w:proofErr w:type="spellStart"/>
      <w:r w:rsidRPr="008101A4">
        <w:rPr>
          <w:rFonts w:ascii="Times New Roman" w:hAnsi="Times New Roman"/>
          <w:w w:val="100"/>
          <w:sz w:val="24"/>
        </w:rPr>
        <w:t>научно­практической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парадигмы </w:t>
      </w:r>
      <w:proofErr w:type="gramStart"/>
      <w:r w:rsidRPr="008101A4">
        <w:rPr>
          <w:rFonts w:ascii="Times New Roman" w:hAnsi="Times New Roman"/>
          <w:w w:val="100"/>
          <w:sz w:val="24"/>
        </w:rPr>
        <w:t>ММ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проявилась, в частности, в выделении нами МИ и СМИД, став ещё одним шагом, приближающим </w:t>
      </w:r>
      <w:proofErr w:type="spellStart"/>
      <w:r w:rsidRPr="008101A4">
        <w:rPr>
          <w:rFonts w:ascii="Times New Roman" w:hAnsi="Times New Roman"/>
          <w:w w:val="100"/>
          <w:sz w:val="24"/>
        </w:rPr>
        <w:t>нейронауки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к завтрашнему «открытию ХХI века». 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расстройства </w:t>
      </w:r>
      <w:proofErr w:type="spellStart"/>
      <w:r w:rsidRPr="008101A4">
        <w:rPr>
          <w:rFonts w:ascii="Times New Roman" w:hAnsi="Times New Roman"/>
          <w:w w:val="100"/>
          <w:sz w:val="24"/>
        </w:rPr>
        <w:t>аутистического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спектра, синдром ментального иммунодефицита, ментальный иммунитет, ментальное 4Д­картирование, ментальная медицина, синергетическая </w:t>
      </w:r>
      <w:proofErr w:type="spellStart"/>
      <w:r w:rsidRPr="008101A4">
        <w:rPr>
          <w:rFonts w:ascii="Times New Roman" w:hAnsi="Times New Roman"/>
          <w:w w:val="100"/>
          <w:sz w:val="24"/>
        </w:rPr>
        <w:t>биопсихосоциодуховная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методология, адаптивный инжиниринг и менеджмент сознания и здоровья</w:t>
      </w:r>
    </w:p>
    <w:p w:rsidR="006A783E" w:rsidRPr="008101A4" w:rsidRDefault="006A783E" w:rsidP="006A783E">
      <w:pPr>
        <w:pStyle w:val="a3"/>
        <w:rPr>
          <w:rFonts w:ascii="Times New Roman" w:hAnsi="Times New Roman"/>
          <w:sz w:val="24"/>
        </w:rPr>
      </w:pPr>
    </w:p>
    <w:p w:rsidR="006A783E" w:rsidRPr="0020518A" w:rsidRDefault="006A783E" w:rsidP="006A783E">
      <w:pPr>
        <w:rPr>
          <w:rFonts w:ascii="Times New Roman" w:hAnsi="Times New Roman"/>
          <w:sz w:val="24"/>
          <w:lang w:val="en-US"/>
        </w:rPr>
      </w:pPr>
    </w:p>
    <w:p w:rsidR="006A783E" w:rsidRPr="0020518A" w:rsidRDefault="006A783E" w:rsidP="006A783E">
      <w:pPr>
        <w:pStyle w:val="a4"/>
        <w:rPr>
          <w:rFonts w:ascii="Times New Roman" w:hAnsi="Times New Roman"/>
          <w:sz w:val="24"/>
          <w:lang w:val="en-US"/>
        </w:rPr>
      </w:pPr>
      <w:r w:rsidRPr="008101A4">
        <w:rPr>
          <w:rFonts w:ascii="Times New Roman" w:hAnsi="Times New Roman"/>
          <w:sz w:val="24"/>
        </w:rPr>
        <w:t>УДК</w:t>
      </w:r>
      <w:r w:rsidRPr="0020518A">
        <w:rPr>
          <w:rFonts w:ascii="Times New Roman" w:hAnsi="Times New Roman"/>
          <w:sz w:val="24"/>
          <w:lang w:val="en-US"/>
        </w:rPr>
        <w:t xml:space="preserve"> 616.89­008.441.44­053.2</w:t>
      </w:r>
    </w:p>
    <w:p w:rsidR="006A783E" w:rsidRPr="008101A4" w:rsidRDefault="006A783E" w:rsidP="006A783E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 xml:space="preserve">СЕМЕЙНО­ОРИЕНТИРОВАННАЯ МЕДИЦИНСКАЯ ПОМОЩЬ В ДЕТСКОМ ПСИХИАТРИЧЕСКОМ </w:t>
      </w:r>
      <w:proofErr w:type="gramStart"/>
      <w:r w:rsidRPr="008101A4">
        <w:rPr>
          <w:rFonts w:ascii="Times New Roman" w:hAnsi="Times New Roman"/>
          <w:b/>
          <w:sz w:val="24"/>
        </w:rPr>
        <w:t>СТАЦИОНАРЕ</w:t>
      </w:r>
      <w:proofErr w:type="gramEnd"/>
      <w:r w:rsidRPr="008101A4">
        <w:rPr>
          <w:rFonts w:ascii="Times New Roman" w:hAnsi="Times New Roman"/>
          <w:b/>
          <w:sz w:val="24"/>
        </w:rPr>
        <w:t xml:space="preserve"> ПРИ ФЕНОМЕНЕ СУИЦИДАЛЬНОГО ПОВЕДЕНИЯ</w:t>
      </w:r>
    </w:p>
    <w:p w:rsidR="006A783E" w:rsidRPr="008101A4" w:rsidRDefault="006A783E" w:rsidP="006A783E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 xml:space="preserve">© 2017 г. М. А. </w:t>
      </w:r>
      <w:proofErr w:type="spellStart"/>
      <w:r w:rsidRPr="008101A4">
        <w:rPr>
          <w:rFonts w:ascii="Times New Roman" w:hAnsi="Times New Roman"/>
        </w:rPr>
        <w:t>Бебчук</w:t>
      </w:r>
      <w:proofErr w:type="spellEnd"/>
      <w:r w:rsidRPr="008101A4">
        <w:rPr>
          <w:rFonts w:ascii="Times New Roman" w:hAnsi="Times New Roman"/>
        </w:rPr>
        <w:t xml:space="preserve"> </w:t>
      </w:r>
    </w:p>
    <w:p w:rsidR="006A783E" w:rsidRPr="008101A4" w:rsidRDefault="006A783E" w:rsidP="006A783E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8101A4">
        <w:rPr>
          <w:rFonts w:ascii="Times New Roman" w:hAnsi="Times New Roman"/>
          <w:w w:val="100"/>
          <w:sz w:val="24"/>
        </w:rPr>
        <w:t>Научно­практический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центр психического здоровья детей и подростков им. </w:t>
      </w:r>
      <w:proofErr w:type="gramStart"/>
      <w:r w:rsidRPr="008101A4">
        <w:rPr>
          <w:rFonts w:ascii="Times New Roman" w:hAnsi="Times New Roman"/>
          <w:w w:val="100"/>
          <w:sz w:val="24"/>
        </w:rPr>
        <w:t>Г. Е.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Сухаревой, г. Москва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Выделены организационные и методические аспекты </w:t>
      </w:r>
      <w:proofErr w:type="spellStart"/>
      <w:r w:rsidRPr="008101A4">
        <w:rPr>
          <w:rFonts w:ascii="Times New Roman" w:hAnsi="Times New Roman"/>
          <w:w w:val="100"/>
          <w:sz w:val="24"/>
        </w:rPr>
        <w:t>семейно­ориентированной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медицинской помощи в условиях психиатрического стационара детям с суицидальным </w:t>
      </w:r>
      <w:r w:rsidRPr="008101A4">
        <w:rPr>
          <w:rFonts w:ascii="Times New Roman" w:hAnsi="Times New Roman"/>
          <w:w w:val="100"/>
          <w:sz w:val="24"/>
        </w:rPr>
        <w:lastRenderedPageBreak/>
        <w:t xml:space="preserve">поведением. Задачами были оценка степени готовности родителей/законных представителей участвовать в коррекционных и реабилитационных мероприятиях в период госпитализации ребенка; определение ключевых потребностей семьи; оформление практических рекомендаций по организационным и методическим вопросам </w:t>
      </w:r>
      <w:proofErr w:type="spellStart"/>
      <w:r w:rsidRPr="008101A4">
        <w:rPr>
          <w:rFonts w:ascii="Times New Roman" w:hAnsi="Times New Roman"/>
          <w:w w:val="100"/>
          <w:sz w:val="24"/>
        </w:rPr>
        <w:t>семейно­ориентированной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помощи детям с суицидальным поведением. Обследованы все девочки (57), госпитализированные в январе–октябре 2014 года в единственный детский психиатрический стационар Москвы по поводу суицидальных проявлений, и 98 их родителей/законных представителей. Использовались анамнестический метод (включая изучение семейного </w:t>
      </w:r>
      <w:proofErr w:type="spellStart"/>
      <w:r w:rsidRPr="008101A4">
        <w:rPr>
          <w:rFonts w:ascii="Times New Roman" w:hAnsi="Times New Roman"/>
          <w:w w:val="100"/>
          <w:sz w:val="24"/>
        </w:rPr>
        <w:t>суицидологического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анамнеза), анализ историй болезни, системный анализ уровня семейного функционирования и анкетирование родителей в момент госпитализации ребенка. 98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родителей готовы в большей или меньшей степени участвовать в медицинских мероприятиях. Ведущими потребностями у всех семей были «Информация о состоянии ребенка, особенностях развития, диагнозе и перспективах» (98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%) и «Обучение новым формам поведения и воспитания, которые можно использовать дома после выписки» (92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%). Выделены методологические основы и предложены рекомендации по формированию организационных условий </w:t>
      </w:r>
      <w:proofErr w:type="spellStart"/>
      <w:r w:rsidRPr="008101A4">
        <w:rPr>
          <w:rFonts w:ascii="Times New Roman" w:hAnsi="Times New Roman"/>
          <w:w w:val="100"/>
          <w:sz w:val="24"/>
        </w:rPr>
        <w:t>семейно­ориентированной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медицинской помощи детям с суицидальным поведением. Описаны этапы семейной психотерапии. Готовность и потребность семьи участвовать в коррекционных и реабилитационных мероприятиях, направленных на суицидальное поведение у ребёнка, свидетельствует о необходимости включения семей в систему обеспечения профилактики и лечения суицидального поведения у детей. Внедрение </w:t>
      </w:r>
      <w:proofErr w:type="spellStart"/>
      <w:r w:rsidRPr="008101A4">
        <w:rPr>
          <w:rFonts w:ascii="Times New Roman" w:hAnsi="Times New Roman"/>
          <w:w w:val="100"/>
          <w:sz w:val="24"/>
        </w:rPr>
        <w:t>семейно­ориентированной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медицинской помощи ребенку с суицидальным поведением предполагает пересмотр норм, принятых в практике работы детского психиатра, психотерапевта, и организации медицинской помощи в целом. Использование реабилитационного потенциала не только ребенка, но и его </w:t>
      </w:r>
      <w:proofErr w:type="spellStart"/>
      <w:r w:rsidRPr="008101A4">
        <w:rPr>
          <w:rFonts w:ascii="Times New Roman" w:hAnsi="Times New Roman"/>
          <w:w w:val="100"/>
          <w:sz w:val="24"/>
        </w:rPr>
        <w:t>микросоциального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окружения – семьи – создает предпосылки для качественных изменений в профилактике, лечении и социальной адаптации детей с суицидальными проявлениями.</w:t>
      </w:r>
    </w:p>
    <w:p w:rsidR="006A783E" w:rsidRPr="008101A4" w:rsidRDefault="006A783E" w:rsidP="006A783E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дети, семья, суицидальное поведение, психиатрическая больница, </w:t>
      </w:r>
      <w:proofErr w:type="spellStart"/>
      <w:r w:rsidRPr="008101A4">
        <w:rPr>
          <w:rFonts w:ascii="Times New Roman" w:hAnsi="Times New Roman"/>
          <w:w w:val="100"/>
          <w:sz w:val="24"/>
        </w:rPr>
        <w:t>семейно­ориентированная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помощь, семейная психотерапия </w:t>
      </w:r>
    </w:p>
    <w:p w:rsidR="006A783E" w:rsidRPr="008101A4" w:rsidRDefault="006A783E" w:rsidP="006A783E">
      <w:pPr>
        <w:pStyle w:val="a3"/>
        <w:rPr>
          <w:rFonts w:ascii="Times New Roman" w:hAnsi="Times New Roman"/>
          <w:sz w:val="24"/>
        </w:rPr>
      </w:pPr>
    </w:p>
    <w:p w:rsidR="008101A4" w:rsidRPr="0020518A" w:rsidRDefault="008101A4" w:rsidP="006A783E">
      <w:pPr>
        <w:rPr>
          <w:rFonts w:ascii="Times New Roman" w:hAnsi="Times New Roman"/>
          <w:sz w:val="24"/>
          <w:lang w:val="en-US"/>
        </w:rPr>
      </w:pPr>
    </w:p>
    <w:p w:rsidR="008101A4" w:rsidRPr="0020518A" w:rsidRDefault="008101A4" w:rsidP="006A783E">
      <w:pPr>
        <w:rPr>
          <w:rFonts w:ascii="Times New Roman" w:hAnsi="Times New Roman"/>
          <w:sz w:val="24"/>
          <w:lang w:val="en-US"/>
        </w:rPr>
      </w:pPr>
    </w:p>
    <w:p w:rsidR="008101A4" w:rsidRPr="0020518A" w:rsidRDefault="008101A4" w:rsidP="008101A4">
      <w:pPr>
        <w:pStyle w:val="a4"/>
        <w:rPr>
          <w:rFonts w:ascii="Times New Roman" w:hAnsi="Times New Roman"/>
          <w:sz w:val="24"/>
          <w:lang w:val="en-US"/>
        </w:rPr>
      </w:pPr>
      <w:r w:rsidRPr="008101A4">
        <w:rPr>
          <w:rFonts w:ascii="Times New Roman" w:hAnsi="Times New Roman"/>
          <w:sz w:val="24"/>
        </w:rPr>
        <w:t>УДК</w:t>
      </w:r>
      <w:r w:rsidRPr="0020518A">
        <w:rPr>
          <w:rFonts w:ascii="Times New Roman" w:hAnsi="Times New Roman"/>
          <w:sz w:val="24"/>
          <w:lang w:val="en-US"/>
        </w:rPr>
        <w:t xml:space="preserve"> 008+061.22</w:t>
      </w:r>
    </w:p>
    <w:p w:rsidR="008101A4" w:rsidRPr="008101A4" w:rsidRDefault="008101A4" w:rsidP="008101A4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>НАРОДНЫЕ ИНИЦИАТИВЫ ПО УВЕКОВЕЧЕНИЮ ПАМЯТИ М. В. ЛОМОНОСОВА</w:t>
      </w:r>
    </w:p>
    <w:p w:rsidR="008101A4" w:rsidRPr="008101A4" w:rsidRDefault="008101A4" w:rsidP="008101A4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>© 2017 г. Т. С. </w:t>
      </w:r>
      <w:proofErr w:type="spellStart"/>
      <w:r w:rsidRPr="008101A4">
        <w:rPr>
          <w:rFonts w:ascii="Times New Roman" w:hAnsi="Times New Roman"/>
        </w:rPr>
        <w:t>Буторина</w:t>
      </w:r>
      <w:proofErr w:type="spellEnd"/>
    </w:p>
    <w:p w:rsidR="008101A4" w:rsidRPr="008101A4" w:rsidRDefault="008101A4" w:rsidP="008101A4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8101A4">
        <w:rPr>
          <w:rFonts w:ascii="Times New Roman" w:hAnsi="Times New Roman"/>
          <w:w w:val="100"/>
          <w:sz w:val="24"/>
        </w:rPr>
        <w:t>Научно­образовательный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центр «Ломоносовский институт», </w:t>
      </w:r>
      <w:r w:rsidRPr="008101A4">
        <w:rPr>
          <w:rFonts w:ascii="Times New Roman" w:hAnsi="Times New Roman"/>
          <w:w w:val="100"/>
          <w:sz w:val="24"/>
        </w:rPr>
        <w:br/>
        <w:t>Северный (Арктический) федеральный университет имени М. В. Ломоносова, г. Архангельск</w:t>
      </w:r>
    </w:p>
    <w:p w:rsidR="008101A4" w:rsidRPr="008101A4" w:rsidRDefault="008101A4" w:rsidP="008101A4">
      <w:pPr>
        <w:pStyle w:val="a3"/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Формирование личности Ломоносова обусловлено особенностями </w:t>
      </w:r>
      <w:proofErr w:type="spellStart"/>
      <w:r w:rsidRPr="008101A4">
        <w:rPr>
          <w:rFonts w:ascii="Times New Roman" w:hAnsi="Times New Roman"/>
          <w:w w:val="100"/>
          <w:sz w:val="24"/>
        </w:rPr>
        <w:t>социально­культурной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среды Русского Севера. Трагична история и судьба научного </w:t>
      </w:r>
      <w:r w:rsidRPr="008101A4">
        <w:rPr>
          <w:rFonts w:ascii="Times New Roman" w:hAnsi="Times New Roman"/>
          <w:w w:val="100"/>
          <w:sz w:val="24"/>
        </w:rPr>
        <w:lastRenderedPageBreak/>
        <w:t>наследия первого российского академика. Народная память о нем поддерживалась прогрессивными деятелями края, священнослужителями, которые первыми высказали мысль о необходимости изучать наследие и биографию учёного, поставить ему памятник в г. Архангельске. Значимую роль в сохранении памяти, изучении научного наследия Ломоносова имели его юбилеи: 1865, 1911, 1961, 1986, 2011 гг.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В публикации впервые рассматривается история возникновения народных инициатив северян по сохранению памяти о первом российском академике – М. В. Ломоносове. На основе исторических материалов обобщены такие подвижнические инициативы, как увековечение имени учёного; просветительские инициативы; поддержка молодых людей, стремящихся к образованию и наукам; стратегические инициативы. В хронологическом </w:t>
      </w:r>
      <w:proofErr w:type="gramStart"/>
      <w:r w:rsidRPr="008101A4">
        <w:rPr>
          <w:rFonts w:ascii="Times New Roman" w:hAnsi="Times New Roman"/>
          <w:w w:val="100"/>
          <w:sz w:val="24"/>
        </w:rPr>
        <w:t>порядке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представлены их разнообразные формы: сбор средств для памятников учёному; учреждение Ломоносовских премий и стипендий; организация Ломоносовских чтений; создание Ломоносовского фонда; становление Архангельской области как университетского центра и т. п. Показано развитие в регионе Ломоносовского движения как народного явления, раскрывается перспективная инициатива земляков по созданию на родине Ломоносова </w:t>
      </w:r>
      <w:proofErr w:type="spellStart"/>
      <w:r w:rsidRPr="008101A4">
        <w:rPr>
          <w:rFonts w:ascii="Times New Roman" w:hAnsi="Times New Roman"/>
          <w:w w:val="100"/>
          <w:sz w:val="24"/>
        </w:rPr>
        <w:t>историко­культурного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научного комплекса «Ломоносовская усадьба», филиалы которого могут быть в районах области.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М. В. Ломоносов, народные инициативы, экология памяти, Ломоносовское движение, «Ломоносовская усадьба»</w:t>
      </w:r>
    </w:p>
    <w:p w:rsidR="008101A4" w:rsidRPr="008101A4" w:rsidRDefault="008101A4" w:rsidP="008101A4">
      <w:pPr>
        <w:pStyle w:val="a3"/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pStyle w:val="a4"/>
        <w:rPr>
          <w:rFonts w:ascii="Times New Roman" w:hAnsi="Times New Roman"/>
          <w:sz w:val="24"/>
        </w:rPr>
      </w:pPr>
      <w:r w:rsidRPr="008101A4">
        <w:rPr>
          <w:rFonts w:ascii="Times New Roman" w:hAnsi="Times New Roman"/>
          <w:sz w:val="24"/>
        </w:rPr>
        <w:t>УДК 159.9:504.75</w:t>
      </w:r>
    </w:p>
    <w:p w:rsidR="008101A4" w:rsidRPr="008101A4" w:rsidRDefault="008101A4" w:rsidP="008101A4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 xml:space="preserve">ЭКОПСИХОЛОГИЯ ОБРАЗОВАТЕЛЬНОЙ СРЕДЫ: </w:t>
      </w:r>
      <w:r w:rsidRPr="008101A4">
        <w:rPr>
          <w:rFonts w:ascii="Times New Roman" w:hAnsi="Times New Roman"/>
          <w:b/>
          <w:sz w:val="24"/>
        </w:rPr>
        <w:br/>
        <w:t>ПОДХОДЫ К ПРОЕКТИРОВАНИЮ И МОНИТОРИНГУ</w:t>
      </w:r>
    </w:p>
    <w:p w:rsidR="008101A4" w:rsidRPr="008101A4" w:rsidRDefault="008101A4" w:rsidP="008101A4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>© 2017 г. П. А. Кисляков</w:t>
      </w:r>
    </w:p>
    <w:p w:rsidR="008101A4" w:rsidRPr="008101A4" w:rsidRDefault="008101A4" w:rsidP="008101A4">
      <w:pPr>
        <w:pStyle w:val="a7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>Российский государственный социальный университет, г. Москва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>В статье актуализируется проблема экологии человека в современных условиях. Обобщены основные подходы экологической психологии к исследованию «</w:t>
      </w:r>
      <w:proofErr w:type="spellStart"/>
      <w:r w:rsidRPr="008101A4">
        <w:rPr>
          <w:rFonts w:ascii="Times New Roman" w:hAnsi="Times New Roman"/>
          <w:w w:val="100"/>
          <w:sz w:val="24"/>
        </w:rPr>
        <w:t>человек­средовых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» отношений. В качестве объекта анализа выступает образовательная среда как совокупность </w:t>
      </w:r>
      <w:proofErr w:type="spellStart"/>
      <w:r w:rsidRPr="008101A4">
        <w:rPr>
          <w:rFonts w:ascii="Times New Roman" w:hAnsi="Times New Roman"/>
          <w:w w:val="100"/>
          <w:sz w:val="24"/>
        </w:rPr>
        <w:t>пространственно­предметных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социальных, информационных, </w:t>
      </w:r>
      <w:proofErr w:type="spellStart"/>
      <w:r w:rsidRPr="008101A4">
        <w:rPr>
          <w:rFonts w:ascii="Times New Roman" w:hAnsi="Times New Roman"/>
          <w:w w:val="100"/>
          <w:sz w:val="24"/>
        </w:rPr>
        <w:t>психолого­педагогических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влияний и условий формирования личности. Обобщены факторы риска, негативно сказывающиеся на развитии и здоровье </w:t>
      </w:r>
      <w:proofErr w:type="gramStart"/>
      <w:r w:rsidRPr="008101A4">
        <w:rPr>
          <w:rFonts w:ascii="Times New Roman" w:hAnsi="Times New Roman"/>
          <w:w w:val="100"/>
          <w:sz w:val="24"/>
        </w:rPr>
        <w:t>обучающихся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. Раскрыты функции образовательной среды: адаптивная, формирующая, образовательная. Описаны подходы к мониторингу экологии образовательной среды: экспертиза и диагностика. Представлены результаты эмпирического исследования экологии образовательной среды вуза, проведенного с помощью анкетирования и позволившего выявить риски образовательной среды вуза, а также степень ее комфортности. </w:t>
      </w:r>
      <w:proofErr w:type="gramStart"/>
      <w:r w:rsidRPr="008101A4">
        <w:rPr>
          <w:rFonts w:ascii="Times New Roman" w:hAnsi="Times New Roman"/>
          <w:w w:val="100"/>
          <w:sz w:val="24"/>
        </w:rPr>
        <w:t xml:space="preserve">Описаны </w:t>
      </w:r>
      <w:proofErr w:type="spellStart"/>
      <w:r w:rsidRPr="008101A4">
        <w:rPr>
          <w:rFonts w:ascii="Times New Roman" w:hAnsi="Times New Roman"/>
          <w:w w:val="100"/>
          <w:sz w:val="24"/>
        </w:rPr>
        <w:t>экопсихологические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модели (сегменты), </w:t>
      </w:r>
      <w:proofErr w:type="spellStart"/>
      <w:r w:rsidRPr="008101A4">
        <w:rPr>
          <w:rFonts w:ascii="Times New Roman" w:hAnsi="Times New Roman"/>
          <w:w w:val="100"/>
          <w:sz w:val="24"/>
        </w:rPr>
        <w:t>концептуализирующие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взаимосвязь субъектов образования и образовательной среды: </w:t>
      </w:r>
      <w:proofErr w:type="spellStart"/>
      <w:r w:rsidRPr="008101A4">
        <w:rPr>
          <w:rFonts w:ascii="Times New Roman" w:hAnsi="Times New Roman"/>
          <w:w w:val="100"/>
          <w:sz w:val="24"/>
        </w:rPr>
        <w:t>здоровьесберегающая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среда, толерантная среда, психологически безопасная среда, безопасная </w:t>
      </w:r>
      <w:proofErr w:type="spellStart"/>
      <w:r w:rsidRPr="008101A4">
        <w:rPr>
          <w:rFonts w:ascii="Times New Roman" w:hAnsi="Times New Roman"/>
          <w:w w:val="100"/>
          <w:sz w:val="24"/>
        </w:rPr>
        <w:t>информационно­виртуальная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среда, </w:t>
      </w:r>
      <w:r w:rsidRPr="008101A4">
        <w:rPr>
          <w:rFonts w:ascii="Times New Roman" w:hAnsi="Times New Roman"/>
          <w:w w:val="100"/>
          <w:sz w:val="24"/>
        </w:rPr>
        <w:lastRenderedPageBreak/>
        <w:t xml:space="preserve">конструктивное коммуникативное (вербальное) пространство, </w:t>
      </w:r>
      <w:proofErr w:type="spellStart"/>
      <w:r w:rsidRPr="008101A4">
        <w:rPr>
          <w:rFonts w:ascii="Times New Roman" w:hAnsi="Times New Roman"/>
          <w:w w:val="100"/>
          <w:sz w:val="24"/>
        </w:rPr>
        <w:t>креативная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среда, экологическая среда.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Делается вывод о том, что </w:t>
      </w:r>
      <w:proofErr w:type="spellStart"/>
      <w:r w:rsidRPr="008101A4">
        <w:rPr>
          <w:rFonts w:ascii="Times New Roman" w:hAnsi="Times New Roman"/>
          <w:w w:val="100"/>
          <w:sz w:val="24"/>
        </w:rPr>
        <w:t>экопсихологическое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проектирование образовательной среды позволит минимизировать факторы социального риска, отрицательные психофизические влияния и обеспечит </w:t>
      </w:r>
      <w:proofErr w:type="gramStart"/>
      <w:r w:rsidRPr="008101A4">
        <w:rPr>
          <w:rFonts w:ascii="Times New Roman" w:hAnsi="Times New Roman"/>
          <w:w w:val="100"/>
          <w:sz w:val="24"/>
        </w:rPr>
        <w:t>обучаемому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адекватные условия его развития, удовлетворения потребности в безопасности, идентичности, </w:t>
      </w:r>
      <w:proofErr w:type="spellStart"/>
      <w:r w:rsidRPr="008101A4">
        <w:rPr>
          <w:rFonts w:ascii="Times New Roman" w:hAnsi="Times New Roman"/>
          <w:w w:val="100"/>
          <w:sz w:val="24"/>
        </w:rPr>
        <w:t>самоактуализации</w:t>
      </w:r>
      <w:proofErr w:type="spellEnd"/>
      <w:r w:rsidRPr="008101A4">
        <w:rPr>
          <w:rFonts w:ascii="Times New Roman" w:hAnsi="Times New Roman"/>
          <w:w w:val="100"/>
          <w:sz w:val="24"/>
        </w:rPr>
        <w:t>.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экологическая психология, экология человека, экология образовательной среды, психологическая безопасность, проектирование образовательной среды, мониторинг среды </w:t>
      </w:r>
    </w:p>
    <w:p w:rsidR="008101A4" w:rsidRPr="0020518A" w:rsidRDefault="008101A4" w:rsidP="008101A4">
      <w:pPr>
        <w:rPr>
          <w:rFonts w:ascii="Times New Roman" w:hAnsi="Times New Roman"/>
          <w:sz w:val="24"/>
        </w:rPr>
      </w:pPr>
    </w:p>
    <w:p w:rsidR="008101A4" w:rsidRPr="0020518A" w:rsidRDefault="008101A4" w:rsidP="008101A4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8101A4">
        <w:rPr>
          <w:rFonts w:ascii="Times New Roman" w:hAnsi="Times New Roman"/>
          <w:sz w:val="24"/>
        </w:rPr>
        <w:t>УДК</w:t>
      </w:r>
      <w:r w:rsidRPr="0020518A">
        <w:rPr>
          <w:rFonts w:ascii="Times New Roman" w:hAnsi="Times New Roman"/>
          <w:sz w:val="24"/>
          <w:lang w:val="en-US"/>
        </w:rPr>
        <w:t xml:space="preserve"> 615.2(574.1)</w:t>
      </w:r>
    </w:p>
    <w:p w:rsidR="008101A4" w:rsidRPr="008101A4" w:rsidRDefault="008101A4" w:rsidP="008101A4">
      <w:pPr>
        <w:pStyle w:val="a5"/>
        <w:spacing w:after="57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 xml:space="preserve">РАСПРОСТРАНЕННОСТЬ ПОТЕНЦИАЛЬНО НЕБЛАГОПРИЯТНЫХ ЛЕКАРСТВЕННЫХ ВЗАИМОДЕЙСТВИЙ В </w:t>
      </w:r>
      <w:proofErr w:type="gramStart"/>
      <w:r w:rsidRPr="008101A4">
        <w:rPr>
          <w:rFonts w:ascii="Times New Roman" w:hAnsi="Times New Roman"/>
          <w:b/>
          <w:sz w:val="24"/>
        </w:rPr>
        <w:t>БОЛЬНИЦАХ</w:t>
      </w:r>
      <w:proofErr w:type="gramEnd"/>
      <w:r w:rsidRPr="008101A4">
        <w:rPr>
          <w:rFonts w:ascii="Times New Roman" w:hAnsi="Times New Roman"/>
          <w:b/>
          <w:sz w:val="24"/>
        </w:rPr>
        <w:t xml:space="preserve"> ЗАПАДНОГО КАЗАХСТАНА</w:t>
      </w:r>
    </w:p>
    <w:p w:rsidR="008101A4" w:rsidRDefault="008101A4" w:rsidP="008101A4">
      <w:pPr>
        <w:pStyle w:val="a6"/>
        <w:spacing w:after="57"/>
        <w:rPr>
          <w:rFonts w:ascii="Times New Roman" w:hAnsi="Times New Roman"/>
        </w:rPr>
      </w:pPr>
      <w:r w:rsidRPr="008101A4">
        <w:rPr>
          <w:rFonts w:ascii="Times New Roman" w:hAnsi="Times New Roman"/>
        </w:rPr>
        <w:t xml:space="preserve">© 2017 г. </w:t>
      </w:r>
      <w:r w:rsidRPr="008101A4">
        <w:rPr>
          <w:rFonts w:ascii="Times New Roman" w:hAnsi="Times New Roman"/>
          <w:vertAlign w:val="superscript"/>
        </w:rPr>
        <w:t>1</w:t>
      </w:r>
      <w:r w:rsidRPr="008101A4">
        <w:rPr>
          <w:rFonts w:ascii="Times New Roman" w:hAnsi="Times New Roman"/>
        </w:rPr>
        <w:t xml:space="preserve">Л. М. </w:t>
      </w:r>
      <w:proofErr w:type="spellStart"/>
      <w:r w:rsidRPr="008101A4">
        <w:rPr>
          <w:rFonts w:ascii="Times New Roman" w:hAnsi="Times New Roman"/>
        </w:rPr>
        <w:t>Жамалиева</w:t>
      </w:r>
      <w:proofErr w:type="spellEnd"/>
      <w:r w:rsidRPr="008101A4">
        <w:rPr>
          <w:rFonts w:ascii="Times New Roman" w:hAnsi="Times New Roman"/>
        </w:rPr>
        <w:t xml:space="preserve">, </w:t>
      </w:r>
      <w:r w:rsidRPr="008101A4">
        <w:rPr>
          <w:rFonts w:ascii="Times New Roman" w:hAnsi="Times New Roman"/>
          <w:vertAlign w:val="superscript"/>
        </w:rPr>
        <w:t>1</w:t>
      </w:r>
      <w:r w:rsidRPr="008101A4">
        <w:rPr>
          <w:rFonts w:ascii="Times New Roman" w:hAnsi="Times New Roman"/>
        </w:rPr>
        <w:t xml:space="preserve">А. З. Мусина, </w:t>
      </w:r>
      <w:r w:rsidRPr="008101A4">
        <w:rPr>
          <w:rFonts w:ascii="Times New Roman" w:hAnsi="Times New Roman"/>
          <w:vertAlign w:val="superscript"/>
        </w:rPr>
        <w:t>1</w:t>
      </w:r>
      <w:r w:rsidRPr="008101A4">
        <w:rPr>
          <w:rFonts w:ascii="Times New Roman" w:hAnsi="Times New Roman"/>
        </w:rPr>
        <w:t xml:space="preserve">Г. А. </w:t>
      </w:r>
      <w:proofErr w:type="spellStart"/>
      <w:r w:rsidRPr="008101A4">
        <w:rPr>
          <w:rFonts w:ascii="Times New Roman" w:hAnsi="Times New Roman"/>
        </w:rPr>
        <w:t>Смагулова</w:t>
      </w:r>
      <w:proofErr w:type="spellEnd"/>
      <w:r w:rsidRPr="008101A4">
        <w:rPr>
          <w:rFonts w:ascii="Times New Roman" w:hAnsi="Times New Roman"/>
        </w:rPr>
        <w:t xml:space="preserve">, </w:t>
      </w:r>
      <w:r w:rsidRPr="008101A4">
        <w:rPr>
          <w:rFonts w:ascii="Times New Roman" w:hAnsi="Times New Roman"/>
          <w:vertAlign w:val="superscript"/>
        </w:rPr>
        <w:t>1­2</w:t>
      </w:r>
      <w:r w:rsidRPr="008101A4">
        <w:rPr>
          <w:rFonts w:ascii="Times New Roman" w:hAnsi="Times New Roman"/>
        </w:rPr>
        <w:t xml:space="preserve">Н. А. </w:t>
      </w:r>
      <w:proofErr w:type="spellStart"/>
      <w:r w:rsidRPr="008101A4">
        <w:rPr>
          <w:rFonts w:ascii="Times New Roman" w:hAnsi="Times New Roman"/>
        </w:rPr>
        <w:t>Сейтмаганбетова</w:t>
      </w:r>
      <w:proofErr w:type="spellEnd"/>
      <w:r w:rsidRPr="008101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101A4">
        <w:rPr>
          <w:rFonts w:ascii="Times New Roman" w:hAnsi="Times New Roman"/>
          <w:vertAlign w:val="superscript"/>
        </w:rPr>
        <w:t>1</w:t>
      </w:r>
      <w:r w:rsidRPr="008101A4">
        <w:rPr>
          <w:rFonts w:ascii="Times New Roman" w:hAnsi="Times New Roman"/>
        </w:rPr>
        <w:t xml:space="preserve">Н. Т. </w:t>
      </w:r>
      <w:proofErr w:type="spellStart"/>
      <w:r w:rsidRPr="008101A4">
        <w:rPr>
          <w:rFonts w:ascii="Times New Roman" w:hAnsi="Times New Roman"/>
        </w:rPr>
        <w:t>Увалиева</w:t>
      </w:r>
      <w:proofErr w:type="spellEnd"/>
      <w:r w:rsidRPr="008101A4">
        <w:rPr>
          <w:rFonts w:ascii="Times New Roman" w:hAnsi="Times New Roman"/>
        </w:rPr>
        <w:t xml:space="preserve">, </w:t>
      </w:r>
      <w:r w:rsidRPr="008101A4">
        <w:rPr>
          <w:rFonts w:ascii="Times New Roman" w:hAnsi="Times New Roman"/>
          <w:vertAlign w:val="superscript"/>
        </w:rPr>
        <w:t>3</w:t>
      </w:r>
      <w:r w:rsidRPr="008101A4">
        <w:rPr>
          <w:rFonts w:ascii="Times New Roman" w:hAnsi="Times New Roman"/>
        </w:rPr>
        <w:t xml:space="preserve">Н. В. Николаенко, </w:t>
      </w:r>
      <w:r w:rsidRPr="008101A4">
        <w:rPr>
          <w:rFonts w:ascii="Times New Roman" w:hAnsi="Times New Roman"/>
          <w:vertAlign w:val="superscript"/>
        </w:rPr>
        <w:t>4­7</w:t>
      </w:r>
      <w:r w:rsidRPr="008101A4">
        <w:rPr>
          <w:rFonts w:ascii="Times New Roman" w:hAnsi="Times New Roman"/>
        </w:rPr>
        <w:t>А. М. Гржибовский</w:t>
      </w:r>
    </w:p>
    <w:p w:rsidR="0020518A" w:rsidRPr="008101A4" w:rsidRDefault="0020518A" w:rsidP="008101A4">
      <w:pPr>
        <w:pStyle w:val="a6"/>
        <w:spacing w:after="57"/>
        <w:rPr>
          <w:rFonts w:ascii="Times New Roman" w:hAnsi="Times New Roman"/>
        </w:rPr>
      </w:pPr>
    </w:p>
    <w:p w:rsidR="008101A4" w:rsidRPr="008101A4" w:rsidRDefault="008101A4" w:rsidP="008101A4">
      <w:pPr>
        <w:pStyle w:val="a7"/>
        <w:rPr>
          <w:rFonts w:ascii="Times New Roman" w:hAnsi="Times New Roman"/>
          <w:w w:val="100"/>
          <w:sz w:val="24"/>
        </w:rPr>
      </w:pPr>
      <w:proofErr w:type="gramStart"/>
      <w:r w:rsidRPr="008101A4">
        <w:rPr>
          <w:rFonts w:ascii="Times New Roman" w:hAnsi="Times New Roman"/>
          <w:w w:val="100"/>
          <w:sz w:val="24"/>
          <w:vertAlign w:val="superscript"/>
        </w:rPr>
        <w:t>1</w:t>
      </w:r>
      <w:r w:rsidRPr="008101A4">
        <w:rPr>
          <w:rFonts w:ascii="Times New Roman" w:hAnsi="Times New Roman"/>
          <w:w w:val="100"/>
          <w:sz w:val="24"/>
        </w:rPr>
        <w:t xml:space="preserve">Западно­Казахстанский государственный медицинский университет им. Марата </w:t>
      </w:r>
      <w:proofErr w:type="spellStart"/>
      <w:r w:rsidRPr="008101A4">
        <w:rPr>
          <w:rFonts w:ascii="Times New Roman" w:hAnsi="Times New Roman"/>
          <w:w w:val="100"/>
          <w:sz w:val="24"/>
        </w:rPr>
        <w:t>Оспанова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101A4">
        <w:rPr>
          <w:rFonts w:ascii="Times New Roman" w:hAnsi="Times New Roman"/>
          <w:w w:val="100"/>
          <w:sz w:val="24"/>
        </w:rPr>
        <w:t>Актобе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; </w:t>
      </w:r>
      <w:r w:rsidRPr="008101A4">
        <w:rPr>
          <w:rFonts w:ascii="Times New Roman" w:hAnsi="Times New Roman"/>
          <w:w w:val="100"/>
          <w:sz w:val="24"/>
          <w:vertAlign w:val="superscript"/>
        </w:rPr>
        <w:t>2</w:t>
      </w:r>
      <w:r w:rsidRPr="008101A4">
        <w:rPr>
          <w:rFonts w:ascii="Times New Roman" w:hAnsi="Times New Roman"/>
          <w:w w:val="100"/>
          <w:sz w:val="24"/>
        </w:rPr>
        <w:t xml:space="preserve">Больница скорой медицинской помощи, г. </w:t>
      </w:r>
      <w:proofErr w:type="spellStart"/>
      <w:r w:rsidRPr="008101A4">
        <w:rPr>
          <w:rFonts w:ascii="Times New Roman" w:hAnsi="Times New Roman"/>
          <w:w w:val="100"/>
          <w:sz w:val="24"/>
        </w:rPr>
        <w:t>Актобе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Казахстан; </w:t>
      </w:r>
      <w:r w:rsidRPr="008101A4">
        <w:rPr>
          <w:rFonts w:ascii="Times New Roman" w:hAnsi="Times New Roman"/>
          <w:w w:val="100"/>
          <w:sz w:val="24"/>
          <w:vertAlign w:val="superscript"/>
        </w:rPr>
        <w:t>3</w:t>
      </w:r>
      <w:r w:rsidRPr="008101A4">
        <w:rPr>
          <w:rFonts w:ascii="Times New Roman" w:hAnsi="Times New Roman"/>
          <w:w w:val="100"/>
          <w:sz w:val="24"/>
        </w:rPr>
        <w:t xml:space="preserve">Областной кардиологический центр, г. Уральск, Казахстан; </w:t>
      </w:r>
      <w:r w:rsidRPr="008101A4">
        <w:rPr>
          <w:rFonts w:ascii="Times New Roman" w:hAnsi="Times New Roman"/>
          <w:w w:val="100"/>
          <w:sz w:val="24"/>
          <w:vertAlign w:val="superscript"/>
        </w:rPr>
        <w:t>4</w:t>
      </w:r>
      <w:r w:rsidRPr="008101A4">
        <w:rPr>
          <w:rFonts w:ascii="Times New Roman" w:hAnsi="Times New Roman"/>
          <w:w w:val="100"/>
          <w:sz w:val="24"/>
        </w:rPr>
        <w:t xml:space="preserve">Национальный институт общественного здравоохранения, г. Осло, Норвегия; </w:t>
      </w:r>
      <w:r w:rsidRPr="008101A4">
        <w:rPr>
          <w:rFonts w:ascii="Times New Roman" w:hAnsi="Times New Roman"/>
          <w:w w:val="100"/>
          <w:sz w:val="24"/>
          <w:vertAlign w:val="superscript"/>
        </w:rPr>
        <w:t>5</w:t>
      </w:r>
      <w:r w:rsidRPr="008101A4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г. Архангельск; </w:t>
      </w:r>
      <w:r w:rsidRPr="008101A4">
        <w:rPr>
          <w:rFonts w:ascii="Times New Roman" w:hAnsi="Times New Roman"/>
          <w:w w:val="100"/>
          <w:sz w:val="24"/>
          <w:vertAlign w:val="superscript"/>
        </w:rPr>
        <w:t>6</w:t>
      </w:r>
      <w:r w:rsidRPr="008101A4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 имени М. К. </w:t>
      </w:r>
      <w:proofErr w:type="spellStart"/>
      <w:r w:rsidRPr="008101A4">
        <w:rPr>
          <w:rFonts w:ascii="Times New Roman" w:hAnsi="Times New Roman"/>
          <w:w w:val="100"/>
          <w:sz w:val="24"/>
        </w:rPr>
        <w:t>Аммосова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г. Якутск; </w:t>
      </w:r>
      <w:r w:rsidRPr="008101A4">
        <w:rPr>
          <w:rFonts w:ascii="Times New Roman" w:hAnsi="Times New Roman"/>
          <w:w w:val="100"/>
          <w:sz w:val="24"/>
          <w:vertAlign w:val="superscript"/>
        </w:rPr>
        <w:t>7</w:t>
      </w:r>
      <w:r w:rsidRPr="008101A4">
        <w:rPr>
          <w:rFonts w:ascii="Times New Roman" w:hAnsi="Times New Roman"/>
          <w:w w:val="100"/>
          <w:sz w:val="24"/>
        </w:rPr>
        <w:t xml:space="preserve">Международный </w:t>
      </w:r>
      <w:proofErr w:type="spellStart"/>
      <w:r w:rsidRPr="008101A4">
        <w:rPr>
          <w:rFonts w:ascii="Times New Roman" w:hAnsi="Times New Roman"/>
          <w:w w:val="100"/>
          <w:sz w:val="24"/>
        </w:rPr>
        <w:t>казахско­турецкий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университет им. Х. А. </w:t>
      </w:r>
      <w:proofErr w:type="spellStart"/>
      <w:r w:rsidRPr="008101A4">
        <w:rPr>
          <w:rFonts w:ascii="Times New Roman" w:hAnsi="Times New Roman"/>
          <w:w w:val="100"/>
          <w:sz w:val="24"/>
        </w:rPr>
        <w:t>Ясави</w:t>
      </w:r>
      <w:proofErr w:type="spellEnd"/>
      <w:r w:rsidRPr="008101A4">
        <w:rPr>
          <w:rFonts w:ascii="Times New Roman" w:hAnsi="Times New Roman"/>
          <w:w w:val="100"/>
          <w:sz w:val="24"/>
        </w:rPr>
        <w:t>, г. Туркестан, Казахстан</w:t>
      </w:r>
      <w:proofErr w:type="gramEnd"/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Потенциальные </w:t>
      </w:r>
      <w:proofErr w:type="spellStart"/>
      <w:r w:rsidRPr="008101A4">
        <w:rPr>
          <w:rFonts w:ascii="Times New Roman" w:hAnsi="Times New Roman"/>
          <w:w w:val="100"/>
          <w:sz w:val="24"/>
        </w:rPr>
        <w:t>эндокологические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последствия использования лекарственных препаратов (ЛП) </w:t>
      </w:r>
      <w:proofErr w:type="gramStart"/>
      <w:r w:rsidRPr="008101A4">
        <w:rPr>
          <w:rFonts w:ascii="Times New Roman" w:hAnsi="Times New Roman"/>
          <w:w w:val="100"/>
          <w:sz w:val="24"/>
        </w:rPr>
        <w:t>много лет являются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предметом научных исследований с точки зрения как отдаленного влияния на генофонд популяций, так и немедленных воздействий на жизнь и здоровье человека. Лекарственные взаимодействия (ЛВ) являются важной и еще недостаточно признаваемой причиной врачебных ошибок и издержек для системы здравоохранения. Мы изучили распространенность и структуру ЛВ в больницах Западного Казахстана. Проведен ретроспективный анализ фармакотерапии на систематической выборке объемом 730 пациентов с сердечно­сосудистыми заболеваниями, пролеченных в больницах городов </w:t>
      </w:r>
      <w:proofErr w:type="spellStart"/>
      <w:r w:rsidRPr="008101A4">
        <w:rPr>
          <w:rFonts w:ascii="Times New Roman" w:hAnsi="Times New Roman"/>
          <w:w w:val="100"/>
          <w:sz w:val="24"/>
        </w:rPr>
        <w:t>Актобе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Уральск, Атырау в 2014 году. Потенциально </w:t>
      </w:r>
      <w:proofErr w:type="gramStart"/>
      <w:r w:rsidRPr="008101A4">
        <w:rPr>
          <w:rFonts w:ascii="Times New Roman" w:hAnsi="Times New Roman"/>
          <w:w w:val="100"/>
          <w:sz w:val="24"/>
        </w:rPr>
        <w:t>опасные</w:t>
      </w:r>
      <w:proofErr w:type="gramEnd"/>
      <w:r w:rsidRPr="008101A4">
        <w:rPr>
          <w:rFonts w:ascii="Times New Roman" w:hAnsi="Times New Roman"/>
          <w:w w:val="100"/>
          <w:sz w:val="24"/>
        </w:rPr>
        <w:t xml:space="preserve"> и значимые ЛВ определялись в базе данных </w:t>
      </w:r>
      <w:proofErr w:type="spellStart"/>
      <w:r w:rsidRPr="008101A4">
        <w:rPr>
          <w:rFonts w:ascii="Times New Roman" w:hAnsi="Times New Roman"/>
          <w:w w:val="100"/>
          <w:sz w:val="24"/>
        </w:rPr>
        <w:t>Drug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Interaction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Checker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(FDA). Были изучены распространенность потенциально опасных (</w:t>
      </w:r>
      <w:proofErr w:type="spellStart"/>
      <w:r w:rsidRPr="008101A4">
        <w:rPr>
          <w:rFonts w:ascii="Times New Roman" w:hAnsi="Times New Roman"/>
          <w:w w:val="100"/>
          <w:sz w:val="24"/>
        </w:rPr>
        <w:t>Major</w:t>
      </w:r>
      <w:proofErr w:type="spellEnd"/>
      <w:r w:rsidRPr="008101A4">
        <w:rPr>
          <w:rFonts w:ascii="Times New Roman" w:hAnsi="Times New Roman"/>
          <w:w w:val="100"/>
          <w:sz w:val="24"/>
        </w:rPr>
        <w:t>) и значимых (</w:t>
      </w:r>
      <w:proofErr w:type="spellStart"/>
      <w:r w:rsidRPr="008101A4">
        <w:rPr>
          <w:rFonts w:ascii="Times New Roman" w:hAnsi="Times New Roman"/>
          <w:w w:val="100"/>
          <w:sz w:val="24"/>
        </w:rPr>
        <w:t>Moderate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) ЛВ и их структура. Связь между категориальными переменными оценивали с помощью отношения шансов (ОШ) и критерия </w:t>
      </w:r>
      <w:r w:rsidRPr="008101A4">
        <w:rPr>
          <w:rFonts w:ascii="Times New Roman" w:hAnsi="Times New Roman" w:cs="Times New Roman Cyr"/>
          <w:w w:val="100"/>
          <w:sz w:val="24"/>
        </w:rPr>
        <w:t>χ</w:t>
      </w:r>
      <w:r w:rsidRPr="008101A4">
        <w:rPr>
          <w:rFonts w:ascii="Times New Roman" w:hAnsi="Times New Roman"/>
          <w:w w:val="100"/>
          <w:sz w:val="24"/>
          <w:vertAlign w:val="superscript"/>
        </w:rPr>
        <w:t>2</w:t>
      </w:r>
      <w:r w:rsidRPr="008101A4">
        <w:rPr>
          <w:rFonts w:ascii="Times New Roman" w:hAnsi="Times New Roman"/>
          <w:w w:val="100"/>
          <w:sz w:val="24"/>
        </w:rPr>
        <w:t xml:space="preserve">. Для показателей </w:t>
      </w:r>
      <w:proofErr w:type="spellStart"/>
      <w:r w:rsidRPr="008101A4">
        <w:rPr>
          <w:rFonts w:ascii="Times New Roman" w:hAnsi="Times New Roman"/>
          <w:w w:val="100"/>
          <w:sz w:val="24"/>
        </w:rPr>
        <w:t>распрострененности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 ОШ рассчитывали 95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доверительные интервалы (ДИ). Выявлена высокая распространённость потенциально опасных ЛВ – 53,8 (95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ДИ 50,9–58,3)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и значимых ЛВ – 88,1 (95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ДИ 85,5–90,3)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%. Установлено, что 53,8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пациентов получали хотя бы одну потенциально опасную комбинацию. Выявлено влияние </w:t>
      </w:r>
      <w:r w:rsidRPr="008101A4">
        <w:rPr>
          <w:rFonts w:ascii="Times New Roman" w:hAnsi="Times New Roman"/>
          <w:w w:val="100"/>
          <w:sz w:val="24"/>
        </w:rPr>
        <w:lastRenderedPageBreak/>
        <w:t>возраста старше 65 лет (</w:t>
      </w:r>
      <w:proofErr w:type="gramStart"/>
      <w:r w:rsidRPr="008101A4">
        <w:rPr>
          <w:rFonts w:ascii="Times New Roman" w:hAnsi="Times New Roman"/>
          <w:w w:val="100"/>
          <w:sz w:val="24"/>
        </w:rPr>
        <w:t>O</w:t>
      </w:r>
      <w:proofErr w:type="gramEnd"/>
      <w:r w:rsidRPr="008101A4">
        <w:rPr>
          <w:rFonts w:ascii="Times New Roman" w:hAnsi="Times New Roman"/>
          <w:w w:val="100"/>
          <w:sz w:val="24"/>
        </w:rPr>
        <w:t>Ш 1,8, 95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 xml:space="preserve">% ДИ 1,4–2,5) и </w:t>
      </w:r>
      <w:proofErr w:type="spellStart"/>
      <w:r w:rsidRPr="008101A4">
        <w:rPr>
          <w:rFonts w:ascii="Times New Roman" w:hAnsi="Times New Roman"/>
          <w:w w:val="100"/>
          <w:sz w:val="24"/>
        </w:rPr>
        <w:t>полипрагмазии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(OШ 6,0, 95</w:t>
      </w:r>
      <w:r w:rsidRPr="008101A4">
        <w:rPr>
          <w:rFonts w:ascii="Times New Roman"/>
          <w:w w:val="100"/>
          <w:sz w:val="24"/>
        </w:rPr>
        <w:t> </w:t>
      </w:r>
      <w:r w:rsidRPr="008101A4">
        <w:rPr>
          <w:rFonts w:ascii="Times New Roman" w:hAnsi="Times New Roman"/>
          <w:w w:val="100"/>
          <w:sz w:val="24"/>
        </w:rPr>
        <w:t>% ДИ 2,7–13,1) на наличие потенциально опасных лекарственных взаимодействий. Побочные эффекты лекарственных препаратов диагностированы у 4,1% пациентов, они чаще наблюдались в группе пациентов с б</w:t>
      </w:r>
      <w:r w:rsidRPr="008101A4">
        <w:rPr>
          <w:rFonts w:ascii="Times New Roman" w:hAnsi="Times New Roman" w:cs="Times New Roman Cyr"/>
          <w:w w:val="100"/>
          <w:sz w:val="24"/>
        </w:rPr>
        <w:t>ό</w:t>
      </w:r>
      <w:r w:rsidRPr="008101A4">
        <w:rPr>
          <w:rFonts w:ascii="Times New Roman" w:hAnsi="Times New Roman"/>
          <w:w w:val="100"/>
          <w:sz w:val="24"/>
        </w:rPr>
        <w:t>льшим количеством назначенных лекарств (</w:t>
      </w:r>
      <w:proofErr w:type="spellStart"/>
      <w:proofErr w:type="gramStart"/>
      <w:r w:rsidRPr="008101A4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101A4">
        <w:rPr>
          <w:rFonts w:ascii="Times New Roman" w:hAnsi="Times New Roman"/>
          <w:w w:val="100"/>
          <w:sz w:val="24"/>
        </w:rPr>
        <w:t xml:space="preserve"> = 0,001). Наиболее часто создающими опасные комбинации ЛВ были </w:t>
      </w:r>
      <w:proofErr w:type="spellStart"/>
      <w:r w:rsidRPr="008101A4">
        <w:rPr>
          <w:rFonts w:ascii="Times New Roman" w:hAnsi="Times New Roman"/>
          <w:w w:val="100"/>
          <w:sz w:val="24"/>
        </w:rPr>
        <w:t>спиронолактон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ингибиторы </w:t>
      </w:r>
      <w:proofErr w:type="spellStart"/>
      <w:r w:rsidRPr="008101A4">
        <w:rPr>
          <w:rFonts w:ascii="Times New Roman" w:hAnsi="Times New Roman"/>
          <w:w w:val="100"/>
          <w:sz w:val="24"/>
        </w:rPr>
        <w:t>ангиотензинпревращающего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фермента, </w:t>
      </w:r>
      <w:proofErr w:type="spellStart"/>
      <w:r w:rsidRPr="008101A4">
        <w:rPr>
          <w:rFonts w:ascii="Times New Roman" w:hAnsi="Times New Roman"/>
          <w:w w:val="100"/>
          <w:sz w:val="24"/>
        </w:rPr>
        <w:t>эноксапарин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натрия, </w:t>
      </w:r>
      <w:proofErr w:type="spellStart"/>
      <w:r w:rsidRPr="008101A4">
        <w:rPr>
          <w:rFonts w:ascii="Times New Roman" w:hAnsi="Times New Roman"/>
          <w:w w:val="100"/>
          <w:sz w:val="24"/>
        </w:rPr>
        <w:t>фондапаринукс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натрия, </w:t>
      </w:r>
      <w:proofErr w:type="spellStart"/>
      <w:r w:rsidRPr="008101A4">
        <w:rPr>
          <w:rFonts w:ascii="Times New Roman" w:hAnsi="Times New Roman"/>
          <w:w w:val="100"/>
          <w:sz w:val="24"/>
        </w:rPr>
        <w:t>клопидогрель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калия хлорид, </w:t>
      </w:r>
      <w:proofErr w:type="spellStart"/>
      <w:r w:rsidRPr="008101A4">
        <w:rPr>
          <w:rFonts w:ascii="Times New Roman" w:hAnsi="Times New Roman"/>
          <w:w w:val="100"/>
          <w:sz w:val="24"/>
        </w:rPr>
        <w:t>сартаны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. 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полипрагмазия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, лекарственные взаимодействия, кардиология, </w:t>
      </w:r>
      <w:proofErr w:type="spellStart"/>
      <w:r w:rsidRPr="008101A4">
        <w:rPr>
          <w:rFonts w:ascii="Times New Roman" w:hAnsi="Times New Roman"/>
          <w:w w:val="100"/>
          <w:sz w:val="24"/>
        </w:rPr>
        <w:t>фармакоэпидемиология</w:t>
      </w:r>
      <w:proofErr w:type="spellEnd"/>
      <w:r w:rsidRPr="008101A4">
        <w:rPr>
          <w:rFonts w:ascii="Times New Roman" w:hAnsi="Times New Roman"/>
          <w:w w:val="100"/>
          <w:sz w:val="24"/>
        </w:rPr>
        <w:t>, Казахстан</w:t>
      </w:r>
    </w:p>
    <w:p w:rsidR="008101A4" w:rsidRPr="008101A4" w:rsidRDefault="008101A4" w:rsidP="008101A4">
      <w:pPr>
        <w:pStyle w:val="a3"/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rPr>
          <w:rFonts w:ascii="Times New Roman" w:hAnsi="Times New Roman"/>
          <w:sz w:val="24"/>
        </w:rPr>
      </w:pPr>
    </w:p>
    <w:p w:rsidR="008101A4" w:rsidRPr="008101A4" w:rsidRDefault="008101A4" w:rsidP="008101A4">
      <w:pPr>
        <w:pStyle w:val="a4"/>
        <w:rPr>
          <w:rFonts w:ascii="Times New Roman" w:hAnsi="Times New Roman"/>
          <w:sz w:val="24"/>
        </w:rPr>
      </w:pPr>
      <w:r w:rsidRPr="008101A4">
        <w:rPr>
          <w:rFonts w:ascii="Times New Roman" w:hAnsi="Times New Roman"/>
          <w:sz w:val="24"/>
        </w:rPr>
        <w:t>УДК 616.71­001.5­089.23</w:t>
      </w:r>
    </w:p>
    <w:p w:rsidR="008101A4" w:rsidRPr="008101A4" w:rsidRDefault="008101A4" w:rsidP="008101A4">
      <w:pPr>
        <w:pStyle w:val="a5"/>
        <w:rPr>
          <w:rFonts w:ascii="Times New Roman" w:hAnsi="Times New Roman"/>
          <w:b/>
          <w:sz w:val="24"/>
        </w:rPr>
      </w:pPr>
      <w:r w:rsidRPr="008101A4">
        <w:rPr>
          <w:rFonts w:ascii="Times New Roman" w:hAnsi="Times New Roman"/>
          <w:b/>
          <w:sz w:val="24"/>
        </w:rPr>
        <w:t>ЧИСЛЕННЫЙ АНАЛИЗ ПРОЧНОСТИ И ЖЕСТКОСТИ БИОМЕХАНИЧЕСКОЙ СИСТЕМЫ «КОСТЬ – АППАРАТ»</w:t>
      </w:r>
    </w:p>
    <w:p w:rsidR="008101A4" w:rsidRPr="008101A4" w:rsidRDefault="008101A4" w:rsidP="008101A4">
      <w:pPr>
        <w:pStyle w:val="a6"/>
        <w:rPr>
          <w:rFonts w:ascii="Times New Roman" w:hAnsi="Times New Roman"/>
        </w:rPr>
      </w:pPr>
      <w:r w:rsidRPr="008101A4">
        <w:rPr>
          <w:rFonts w:ascii="Times New Roman" w:hAnsi="Times New Roman"/>
        </w:rPr>
        <w:t xml:space="preserve">© 2017 г. Р. П. Матвеев, *Б. В. </w:t>
      </w:r>
      <w:proofErr w:type="spellStart"/>
      <w:r w:rsidRPr="008101A4">
        <w:rPr>
          <w:rFonts w:ascii="Times New Roman" w:hAnsi="Times New Roman"/>
        </w:rPr>
        <w:t>Лабудин</w:t>
      </w:r>
      <w:proofErr w:type="spellEnd"/>
      <w:r w:rsidRPr="008101A4">
        <w:rPr>
          <w:rFonts w:ascii="Times New Roman" w:hAnsi="Times New Roman"/>
        </w:rPr>
        <w:t>, *В. С. Морозов, *А. О. Орлов</w:t>
      </w:r>
    </w:p>
    <w:p w:rsidR="008101A4" w:rsidRPr="008101A4" w:rsidRDefault="008101A4" w:rsidP="008101A4">
      <w:pPr>
        <w:pStyle w:val="a7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*Северный (Арктический) федеральный университет </w:t>
      </w:r>
      <w:r w:rsidRPr="008101A4">
        <w:rPr>
          <w:rFonts w:ascii="Times New Roman" w:hAnsi="Times New Roman"/>
          <w:w w:val="100"/>
          <w:sz w:val="24"/>
        </w:rPr>
        <w:br/>
        <w:t>имени М. В. Ломоносова, г. Архангельск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Изучено влияние различных факторов (условий) на величину прочности и жесткости биомеханической системы «кость – аппарат» при применении </w:t>
      </w:r>
      <w:proofErr w:type="spellStart"/>
      <w:r w:rsidRPr="008101A4">
        <w:rPr>
          <w:rFonts w:ascii="Times New Roman" w:hAnsi="Times New Roman"/>
          <w:w w:val="100"/>
          <w:sz w:val="24"/>
        </w:rPr>
        <w:t>внеочагового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стержневого остеосинтеза в случаях переломов длинных трубчатых костей.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w w:val="100"/>
          <w:sz w:val="24"/>
        </w:rPr>
        <w:t xml:space="preserve">Приведено решение задачи определения устойчивости рассматриваемой биомеханической системы, в которой взаимодействие «кость – аппарат» представлено в виде упругой системы, состоящей из двух абсолютно жестких звеньев (сломанная кость), связанных между собой упруго деформируемыми элементами (аппарат с титановыми стержнями), имеющей одну (изгибную) степень свободы. На основании уравнения, полученного в ходе решения задачи, были определены факторы, оказывающие влияние на прочностные характеристики стержня. Проведенное моделирование зависимости прочностных характеристик стержня от массы тела человека (нагрузки), длины стержня и угла внедрения нагелей к продольной оси кости, в виде полного факторного эксперимента, позволило проанализировать значимость их влияния. Численный анализ зависимости </w:t>
      </w:r>
      <w:r w:rsidRPr="008101A4">
        <w:rPr>
          <w:rFonts w:ascii="Times New Roman" w:hAnsi="Times New Roman" w:cs="Times New Roman Cyr"/>
          <w:i/>
          <w:iCs/>
          <w:w w:val="100"/>
          <w:sz w:val="24"/>
        </w:rPr>
        <w:t xml:space="preserve">P = </w:t>
      </w:r>
      <w:proofErr w:type="spellStart"/>
      <w:r w:rsidRPr="008101A4">
        <w:rPr>
          <w:rFonts w:ascii="Times New Roman" w:hAnsi="Times New Roman" w:cs="Times New Roman Cyr"/>
          <w:i/>
          <w:iCs/>
          <w:w w:val="100"/>
          <w:sz w:val="24"/>
        </w:rPr>
        <w:t>f</w:t>
      </w:r>
      <w:proofErr w:type="spellEnd"/>
      <w:r w:rsidRPr="008101A4">
        <w:rPr>
          <w:rFonts w:ascii="Times New Roman" w:hAnsi="Times New Roman" w:cs="Times New Roman Cyr"/>
          <w:i/>
          <w:iCs/>
          <w:w w:val="100"/>
          <w:sz w:val="24"/>
        </w:rPr>
        <w:t xml:space="preserve"> </w:t>
      </w:r>
      <w:r w:rsidRPr="008101A4">
        <w:rPr>
          <w:rFonts w:ascii="Times New Roman" w:hAnsi="Times New Roman" w:cs="Times New Roman Cyr"/>
          <w:w w:val="100"/>
          <w:sz w:val="24"/>
        </w:rPr>
        <w:t>(Θ</w:t>
      </w:r>
      <w:r w:rsidRPr="008101A4">
        <w:rPr>
          <w:rFonts w:ascii="Times New Roman" w:hAnsi="Times New Roman" w:cs="Times New Roman Cyr"/>
          <w:i/>
          <w:iCs/>
          <w:w w:val="100"/>
          <w:sz w:val="24"/>
        </w:rPr>
        <w:t xml:space="preserve">, C, </w:t>
      </w:r>
      <w:proofErr w:type="spellStart"/>
      <w:r w:rsidRPr="008101A4">
        <w:rPr>
          <w:rFonts w:ascii="Times New Roman" w:hAnsi="Times New Roman" w:cs="Times New Roman Cyr"/>
          <w:i/>
          <w:iCs/>
          <w:w w:val="100"/>
          <w:sz w:val="24"/>
        </w:rPr>
        <w:t>l</w:t>
      </w:r>
      <w:proofErr w:type="spellEnd"/>
      <w:r w:rsidRPr="008101A4">
        <w:rPr>
          <w:rFonts w:ascii="Times New Roman" w:hAnsi="Times New Roman" w:cs="Times New Roman Cyr"/>
          <w:w w:val="100"/>
          <w:sz w:val="24"/>
        </w:rPr>
        <w:t>)</w:t>
      </w:r>
      <w:r w:rsidRPr="008101A4">
        <w:rPr>
          <w:rFonts w:ascii="Times New Roman" w:hAnsi="Times New Roman"/>
          <w:w w:val="100"/>
          <w:sz w:val="24"/>
        </w:rPr>
        <w:t xml:space="preserve"> показал, что наибольшее влияние на выходной параметр P (нагрузка) оказывает С (коэффициент жесткости). Значимость воздействия этого фактора превышает значимость воздействия </w:t>
      </w:r>
      <w:r w:rsidRPr="008101A4">
        <w:rPr>
          <w:rFonts w:ascii="Times New Roman" w:hAnsi="Times New Roman" w:cs="Times New Roman Cyr"/>
          <w:w w:val="100"/>
          <w:sz w:val="24"/>
        </w:rPr>
        <w:t>Θ</w:t>
      </w:r>
      <w:r w:rsidRPr="008101A4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8101A4">
        <w:rPr>
          <w:rFonts w:ascii="Times New Roman" w:hAnsi="Times New Roman" w:cs="Times New Roman Cyr"/>
          <w:i/>
          <w:iCs/>
          <w:w w:val="100"/>
          <w:sz w:val="24"/>
        </w:rPr>
        <w:t>l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примерно в 6 и 2,6 раза соответственно. Результаты работы основаны на выполненных ранее </w:t>
      </w:r>
      <w:proofErr w:type="spellStart"/>
      <w:r w:rsidRPr="008101A4">
        <w:rPr>
          <w:rFonts w:ascii="Times New Roman" w:hAnsi="Times New Roman"/>
          <w:w w:val="100"/>
          <w:sz w:val="24"/>
        </w:rPr>
        <w:t>научно­теоретических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исследованиях прочности и устойчивости системы «кость</w:t>
      </w:r>
      <w:r w:rsidRPr="008101A4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8101A4">
        <w:rPr>
          <w:rFonts w:ascii="Times New Roman" w:hAnsi="Times New Roman"/>
          <w:w w:val="100"/>
          <w:sz w:val="24"/>
        </w:rPr>
        <w:t>–</w:t>
      </w:r>
      <w:r w:rsidRPr="008101A4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8101A4">
        <w:rPr>
          <w:rFonts w:ascii="Times New Roman" w:hAnsi="Times New Roman"/>
          <w:w w:val="100"/>
          <w:sz w:val="24"/>
        </w:rPr>
        <w:t>аппарат», лабораторных и практических результатах.</w:t>
      </w:r>
    </w:p>
    <w:p w:rsidR="008101A4" w:rsidRPr="008101A4" w:rsidRDefault="008101A4" w:rsidP="008101A4">
      <w:pPr>
        <w:pStyle w:val="a8"/>
        <w:rPr>
          <w:rFonts w:ascii="Times New Roman" w:hAnsi="Times New Roman"/>
          <w:w w:val="100"/>
          <w:sz w:val="24"/>
        </w:rPr>
      </w:pPr>
      <w:r w:rsidRPr="008101A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101A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101A4">
        <w:rPr>
          <w:rFonts w:ascii="Times New Roman" w:hAnsi="Times New Roman"/>
          <w:w w:val="100"/>
          <w:sz w:val="24"/>
        </w:rPr>
        <w:t>внеочаговый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стержневой остеосинтез, аппарат </w:t>
      </w:r>
      <w:proofErr w:type="spellStart"/>
      <w:r w:rsidRPr="008101A4">
        <w:rPr>
          <w:rFonts w:ascii="Times New Roman" w:hAnsi="Times New Roman"/>
          <w:w w:val="100"/>
          <w:sz w:val="24"/>
        </w:rPr>
        <w:t>внеочаговой</w:t>
      </w:r>
      <w:proofErr w:type="spellEnd"/>
      <w:r w:rsidRPr="008101A4">
        <w:rPr>
          <w:rFonts w:ascii="Times New Roman" w:hAnsi="Times New Roman"/>
          <w:w w:val="100"/>
          <w:sz w:val="24"/>
        </w:rPr>
        <w:t xml:space="preserve"> фиксации, устойчивость, жесткость, критическая нагрузка, моделирование</w:t>
      </w:r>
    </w:p>
    <w:p w:rsidR="008101A4" w:rsidRPr="008101A4" w:rsidRDefault="008101A4" w:rsidP="008101A4">
      <w:pPr>
        <w:pStyle w:val="a3"/>
        <w:rPr>
          <w:rFonts w:ascii="Times New Roman" w:hAnsi="Times New Roman"/>
          <w:sz w:val="24"/>
        </w:rPr>
      </w:pPr>
    </w:p>
    <w:sectPr w:rsidR="008101A4" w:rsidRPr="008101A4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3E"/>
    <w:rsid w:val="0020518A"/>
    <w:rsid w:val="006A783E"/>
    <w:rsid w:val="008101A4"/>
    <w:rsid w:val="008506CC"/>
    <w:rsid w:val="00ED5ADD"/>
    <w:rsid w:val="00F6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6A783E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6A783E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6A783E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6A783E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6A783E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6A783E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6A783E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6A783E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6A783E"/>
    <w:rPr>
      <w:sz w:val="18"/>
      <w:szCs w:val="18"/>
    </w:rPr>
  </w:style>
  <w:style w:type="character" w:styleId="ac">
    <w:name w:val="Hyperlink"/>
    <w:basedOn w:val="a0"/>
    <w:uiPriority w:val="99"/>
    <w:unhideWhenUsed/>
    <w:rsid w:val="006A7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tihonovaev</cp:lastModifiedBy>
  <cp:revision>3</cp:revision>
  <dcterms:created xsi:type="dcterms:W3CDTF">2017-04-03T09:04:00Z</dcterms:created>
  <dcterms:modified xsi:type="dcterms:W3CDTF">2017-04-10T07:50:00Z</dcterms:modified>
</cp:coreProperties>
</file>